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ascii="仿宋" w:hAnsi="仿宋" w:eastAsia="仿宋" w:cs="Times New Roman"/>
          <w:color w:val="000000"/>
          <w:kern w:val="2"/>
          <w:sz w:val="24"/>
          <w:szCs w:val="24"/>
        </w:rPr>
      </w:pPr>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公告编号：2022-009</w:t>
      </w:r>
    </w:p>
    <w:p>
      <w:pPr>
        <w:adjustRightInd w:val="0"/>
        <w:spacing w:line="360" w:lineRule="auto"/>
        <w:jc w:val="both"/>
        <w:rPr>
          <w:rFonts w:ascii="仿宋" w:hAnsi="仿宋" w:eastAsia="仿宋" w:cs="Times New Roman"/>
          <w:color w:val="000000"/>
          <w:kern w:val="2"/>
          <w:sz w:val="24"/>
          <w:szCs w:val="24"/>
        </w:rPr>
      </w:pP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江苏晶雪节能科技股份有限公司</w:t>
      </w:r>
    </w:p>
    <w:p>
      <w:pPr>
        <w:autoSpaceDE/>
        <w:autoSpaceDN/>
        <w:snapToGrid w:val="0"/>
        <w:spacing w:before="156" w:beforeLines="50" w:line="360" w:lineRule="auto"/>
        <w:jc w:val="center"/>
        <w:rPr>
          <w:rFonts w:hint="eastAsia" w:ascii="仿宋" w:hAnsi="仿宋" w:eastAsia="仿宋" w:cs="Times New Roman"/>
          <w:b/>
          <w:color w:val="000000"/>
          <w:kern w:val="2"/>
          <w:sz w:val="24"/>
          <w:szCs w:val="24"/>
          <w:lang w:val="en-US" w:eastAsia="zh-CN"/>
        </w:rPr>
      </w:pPr>
      <w:r>
        <w:rPr>
          <w:rFonts w:hint="eastAsia" w:ascii="仿宋" w:hAnsi="仿宋" w:eastAsia="仿宋" w:cs="Times New Roman"/>
          <w:b/>
          <w:color w:val="000000"/>
          <w:kern w:val="2"/>
          <w:sz w:val="24"/>
          <w:szCs w:val="24"/>
          <w:lang w:eastAsia="zh-Hans"/>
        </w:rPr>
        <w:t>关于深圳证券交易所关注函的回复</w:t>
      </w:r>
      <w:r>
        <w:rPr>
          <w:rFonts w:hint="eastAsia" w:ascii="仿宋" w:hAnsi="仿宋" w:eastAsia="仿宋" w:cs="Times New Roman"/>
          <w:b/>
          <w:color w:val="000000"/>
          <w:kern w:val="2"/>
          <w:sz w:val="24"/>
          <w:szCs w:val="24"/>
          <w:lang w:val="en-US" w:eastAsia="zh-CN"/>
        </w:rPr>
        <w:t>公告</w:t>
      </w:r>
      <w:bookmarkStart w:id="0" w:name="_GoBack"/>
      <w:bookmarkEnd w:id="0"/>
    </w:p>
    <w:tbl>
      <w:tblPr>
        <w:tblStyle w:val="10"/>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jc w:val="both"/>
              <w:rPr>
                <w:rFonts w:ascii="楷体" w:hAnsi="楷体" w:eastAsia="楷体"/>
                <w:color w:val="000000"/>
                <w:sz w:val="24"/>
                <w:szCs w:val="24"/>
              </w:rPr>
            </w:pPr>
            <w:r>
              <w:rPr>
                <w:rFonts w:hint="eastAsia" w:ascii="楷体" w:hAnsi="楷体" w:eastAsia="楷体"/>
                <w:color w:val="000000"/>
                <w:sz w:val="24"/>
                <w:szCs w:val="24"/>
              </w:rPr>
              <w:t>本公司及董事会全体成员保证信息披露内容的真实、准确和完整，没有虚假记载、误导性陈述或重大遗漏。</w:t>
            </w:r>
          </w:p>
        </w:tc>
      </w:tr>
    </w:tbl>
    <w:p>
      <w:pPr>
        <w:widowControl/>
        <w:autoSpaceDE/>
        <w:autoSpaceDN/>
        <w:spacing w:line="440" w:lineRule="exact"/>
        <w:jc w:val="both"/>
        <w:rPr>
          <w:b/>
          <w:sz w:val="24"/>
          <w:szCs w:val="24"/>
        </w:rPr>
      </w:pPr>
    </w:p>
    <w:p>
      <w:pPr>
        <w:autoSpaceDE/>
        <w:autoSpaceDN/>
        <w:spacing w:line="360" w:lineRule="auto"/>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深圳证券交易所</w:t>
      </w:r>
      <w:r>
        <w:rPr>
          <w:rFonts w:ascii="仿宋" w:hAnsi="仿宋" w:eastAsia="仿宋" w:cs="Times New Roman"/>
          <w:b/>
          <w:color w:val="000000"/>
          <w:kern w:val="2"/>
          <w:sz w:val="24"/>
          <w:szCs w:val="24"/>
          <w:lang w:eastAsia="zh-Hans"/>
        </w:rPr>
        <w:t>：</w:t>
      </w:r>
    </w:p>
    <w:p>
      <w:pPr>
        <w:pStyle w:val="3"/>
        <w:spacing w:line="360" w:lineRule="auto"/>
        <w:ind w:firstLine="480" w:firstLineChars="200"/>
        <w:jc w:val="both"/>
        <w:rPr>
          <w:rFonts w:ascii="仿宋" w:hAnsi="仿宋" w:eastAsia="仿宋" w:cs="Times New Roman"/>
          <w:color w:val="000000"/>
          <w:kern w:val="2"/>
        </w:rPr>
      </w:pPr>
      <w:r>
        <w:rPr>
          <w:rFonts w:hint="eastAsia" w:ascii="仿宋" w:hAnsi="仿宋" w:eastAsia="仿宋" w:cs="Times New Roman"/>
          <w:color w:val="000000"/>
          <w:kern w:val="2"/>
        </w:rPr>
        <w:t>江苏晶雪节能科技股份有限公司（以下简称“公司”）（证券简称：晶雪节能，证券代码：301010）</w:t>
      </w:r>
      <w:r>
        <w:rPr>
          <w:rFonts w:hint="eastAsia" w:ascii="仿宋" w:hAnsi="仿宋" w:eastAsia="仿宋" w:cs="Times New Roman"/>
          <w:color w:val="000000"/>
          <w:kern w:val="2"/>
          <w:lang w:eastAsia="zh-Hans"/>
        </w:rPr>
        <w:t>于</w:t>
      </w:r>
      <w:r>
        <w:rPr>
          <w:rFonts w:ascii="仿宋" w:hAnsi="仿宋" w:eastAsia="仿宋" w:cs="Times New Roman"/>
          <w:color w:val="000000"/>
          <w:kern w:val="2"/>
          <w:lang w:eastAsia="zh-Hans"/>
        </w:rPr>
        <w:t>2022</w:t>
      </w:r>
      <w:r>
        <w:rPr>
          <w:rFonts w:hint="eastAsia" w:ascii="仿宋" w:hAnsi="仿宋" w:eastAsia="仿宋" w:cs="Times New Roman"/>
          <w:color w:val="000000"/>
          <w:kern w:val="2"/>
          <w:lang w:eastAsia="zh-Hans"/>
        </w:rPr>
        <w:t>年</w:t>
      </w:r>
      <w:r>
        <w:rPr>
          <w:rFonts w:ascii="仿宋" w:hAnsi="仿宋" w:eastAsia="仿宋" w:cs="Times New Roman"/>
          <w:color w:val="000000"/>
          <w:kern w:val="2"/>
          <w:lang w:eastAsia="zh-Hans"/>
        </w:rPr>
        <w:t>3</w:t>
      </w:r>
      <w:r>
        <w:rPr>
          <w:rFonts w:hint="eastAsia" w:ascii="仿宋" w:hAnsi="仿宋" w:eastAsia="仿宋" w:cs="Times New Roman"/>
          <w:color w:val="000000"/>
          <w:kern w:val="2"/>
          <w:lang w:eastAsia="zh-Hans"/>
        </w:rPr>
        <w:t>月</w:t>
      </w:r>
      <w:r>
        <w:rPr>
          <w:rFonts w:ascii="仿宋" w:hAnsi="仿宋" w:eastAsia="仿宋" w:cs="Times New Roman"/>
          <w:color w:val="000000"/>
          <w:kern w:val="2"/>
          <w:lang w:eastAsia="zh-Hans"/>
        </w:rPr>
        <w:t>21</w:t>
      </w:r>
      <w:r>
        <w:rPr>
          <w:rFonts w:hint="eastAsia" w:ascii="仿宋" w:hAnsi="仿宋" w:eastAsia="仿宋" w:cs="Times New Roman"/>
          <w:color w:val="000000"/>
          <w:kern w:val="2"/>
          <w:lang w:eastAsia="zh-Hans"/>
        </w:rPr>
        <w:t>日收到深圳证券交易所创业板公司管理部出具的《关于对江苏晶雪节能科技股份有限公司的关注函》（创业板关注函〔2022〕第 15</w:t>
      </w:r>
      <w:r>
        <w:rPr>
          <w:rFonts w:ascii="仿宋" w:hAnsi="仿宋" w:eastAsia="仿宋" w:cs="Times New Roman"/>
          <w:color w:val="000000"/>
          <w:kern w:val="2"/>
          <w:lang w:eastAsia="zh-Hans"/>
        </w:rPr>
        <w:t>8</w:t>
      </w:r>
      <w:r>
        <w:rPr>
          <w:rFonts w:hint="eastAsia" w:ascii="仿宋" w:hAnsi="仿宋" w:eastAsia="仿宋" w:cs="Times New Roman"/>
          <w:color w:val="000000"/>
          <w:kern w:val="2"/>
          <w:lang w:eastAsia="zh-Hans"/>
        </w:rPr>
        <w:t xml:space="preserve"> 号）（以下简称“关注函”）。公司对关注函中提到的问题逐项进行了认真核查，现将关注函有关问题回复如下：</w:t>
      </w: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1．3月15日，投资者在互动易提问中提及，“国家大力发展装配式建筑，到2025年装配式建筑占新建筑的比例50%以上。贵公司产品应用于冷库项目、厂房围护项目、外墙板项目和雪场保温项目，这些项目是否属于装配式建筑？”你公司回复称，“公司主要产品为冷库和工业建筑围护系统节能隔热保温材料。金属面节能隔热保温夹芯板具有一系列独特的材料特性，且易于工厂预制拼装，可广泛应用于各类装配式建筑物”。</w:t>
      </w: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请按照细分产品类型列示你公司近一年又一期的营业收入构成，并说明各类产品是否可用于装配式建筑以及相关收入占比，结合主要产品产能、产量、销量情况以及所处行业政策变化情况等说明发展装配式建筑相关政策预计对你公司的具体影响，并进行相关风险提示。</w:t>
      </w:r>
    </w:p>
    <w:p>
      <w:pPr>
        <w:autoSpaceDE/>
        <w:autoSpaceDN/>
        <w:spacing w:line="360" w:lineRule="auto"/>
        <w:ind w:firstLine="482" w:firstLineChars="200"/>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topLinePunct/>
        <w:spacing w:line="360" w:lineRule="auto"/>
        <w:ind w:firstLine="480" w:firstLineChars="200"/>
        <w:jc w:val="both"/>
        <w:outlineLvl w:val="0"/>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公司产品主要为冷库和工业建筑围护系统节能隔热保温材料，具体分为金属面节能隔热保温夹芯板和冷库门、工业建筑门、升降平台等配套产品，其中金属面节能隔热保温夹芯板是公司的主要产品。公司冷库和工业建筑围护系统节能隔热保温材料具体应用于冷链物流的装配式冷库建筑和食品加工、生物制药、精细化工、精密电子等工业节能装配式建筑上。</w:t>
      </w:r>
    </w:p>
    <w:p>
      <w:pPr>
        <w:topLinePunct/>
        <w:spacing w:line="360" w:lineRule="auto"/>
        <w:ind w:firstLine="480" w:firstLineChars="200"/>
        <w:jc w:val="both"/>
        <w:outlineLvl w:val="0"/>
        <w:rPr>
          <w:rFonts w:ascii="仿宋" w:hAnsi="仿宋" w:eastAsia="仿宋" w:cs="Times New Roman"/>
          <w:bCs/>
          <w:color w:val="000000"/>
          <w:kern w:val="2"/>
          <w:sz w:val="24"/>
          <w:szCs w:val="24"/>
        </w:rPr>
      </w:pPr>
      <w:r>
        <w:rPr>
          <w:rFonts w:ascii="仿宋" w:hAnsi="仿宋" w:eastAsia="仿宋" w:cs="Times New Roman"/>
          <w:bCs/>
          <w:color w:val="000000"/>
          <w:kern w:val="2"/>
          <w:sz w:val="24"/>
          <w:szCs w:val="24"/>
        </w:rPr>
        <w:t>根据</w:t>
      </w:r>
      <w:r>
        <w:rPr>
          <w:rFonts w:hint="eastAsia" w:ascii="仿宋" w:hAnsi="仿宋" w:eastAsia="仿宋" w:cs="Times New Roman"/>
          <w:bCs/>
          <w:color w:val="000000"/>
          <w:kern w:val="2"/>
          <w:sz w:val="24"/>
          <w:szCs w:val="24"/>
        </w:rPr>
        <w:t>2</w:t>
      </w:r>
      <w:r>
        <w:rPr>
          <w:rFonts w:ascii="仿宋" w:hAnsi="仿宋" w:eastAsia="仿宋" w:cs="Times New Roman"/>
          <w:bCs/>
          <w:color w:val="000000"/>
          <w:kern w:val="2"/>
          <w:sz w:val="24"/>
          <w:szCs w:val="24"/>
        </w:rPr>
        <w:t>016年</w:t>
      </w:r>
      <w:r>
        <w:rPr>
          <w:rFonts w:hint="eastAsia" w:ascii="仿宋" w:hAnsi="仿宋" w:eastAsia="仿宋" w:cs="Times New Roman"/>
          <w:bCs/>
          <w:color w:val="000000"/>
          <w:kern w:val="2"/>
          <w:sz w:val="24"/>
          <w:szCs w:val="24"/>
        </w:rPr>
        <w:t>9月国务院办公厅发布的</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关于大力发展装配式建筑的指导意见》（国办发〔</w:t>
      </w:r>
      <w:r>
        <w:rPr>
          <w:rFonts w:ascii="仿宋" w:hAnsi="仿宋" w:eastAsia="仿宋" w:cs="Times New Roman"/>
          <w:bCs/>
          <w:color w:val="000000"/>
          <w:kern w:val="2"/>
          <w:sz w:val="24"/>
          <w:szCs w:val="24"/>
        </w:rPr>
        <w:t>2016〕71号），“</w:t>
      </w:r>
      <w:r>
        <w:rPr>
          <w:rFonts w:hint="eastAsia" w:ascii="仿宋" w:hAnsi="仿宋" w:eastAsia="仿宋" w:cs="Times New Roman"/>
          <w:bCs/>
          <w:color w:val="000000"/>
          <w:kern w:val="2"/>
          <w:sz w:val="24"/>
          <w:szCs w:val="24"/>
        </w:rPr>
        <w:t>装配式建筑是用预制部品部件在工地装配而成的建筑”。</w:t>
      </w:r>
      <w:r>
        <w:rPr>
          <w:rFonts w:ascii="仿宋" w:hAnsi="仿宋" w:eastAsia="仿宋" w:cs="Times New Roman"/>
          <w:bCs/>
          <w:color w:val="000000"/>
          <w:kern w:val="2"/>
          <w:sz w:val="24"/>
          <w:szCs w:val="24"/>
        </w:rPr>
        <w:t>公司</w:t>
      </w:r>
      <w:r>
        <w:rPr>
          <w:rFonts w:hint="eastAsia" w:ascii="仿宋" w:hAnsi="仿宋" w:eastAsia="仿宋" w:cs="Times New Roman"/>
          <w:bCs/>
          <w:color w:val="000000"/>
          <w:kern w:val="2"/>
          <w:sz w:val="24"/>
          <w:szCs w:val="24"/>
        </w:rPr>
        <w:t>冷库和工业建筑围护系统节能隔热保温材料均在公司厂区按照客户项目要求进行设计、生产，然后运输到客户项目施工工地进行装配安装，符合装配式建筑的定义。</w:t>
      </w:r>
    </w:p>
    <w:p>
      <w:pPr>
        <w:topLinePunct/>
        <w:spacing w:line="360" w:lineRule="auto"/>
        <w:ind w:firstLine="480" w:firstLineChars="200"/>
        <w:jc w:val="both"/>
        <w:outlineLvl w:val="0"/>
        <w:rPr>
          <w:sz w:val="24"/>
          <w:szCs w:val="20"/>
        </w:rPr>
      </w:pPr>
      <w:r>
        <w:rPr>
          <w:rFonts w:hint="eastAsia" w:ascii="仿宋" w:hAnsi="仿宋" w:eastAsia="仿宋" w:cs="Times New Roman"/>
          <w:bCs/>
          <w:color w:val="000000"/>
          <w:kern w:val="2"/>
          <w:sz w:val="24"/>
          <w:szCs w:val="24"/>
        </w:rPr>
        <w:t>公司2</w:t>
      </w:r>
      <w:r>
        <w:rPr>
          <w:rFonts w:ascii="仿宋" w:hAnsi="仿宋" w:eastAsia="仿宋" w:cs="Times New Roman"/>
          <w:bCs/>
          <w:color w:val="000000"/>
          <w:kern w:val="2"/>
          <w:sz w:val="24"/>
          <w:szCs w:val="24"/>
        </w:rPr>
        <w:t>020年及</w:t>
      </w:r>
      <w:r>
        <w:rPr>
          <w:rFonts w:hint="eastAsia" w:ascii="仿宋" w:hAnsi="仿宋" w:eastAsia="仿宋" w:cs="Times New Roman"/>
          <w:bCs/>
          <w:color w:val="000000"/>
          <w:kern w:val="2"/>
          <w:sz w:val="24"/>
          <w:szCs w:val="24"/>
        </w:rPr>
        <w:t>2</w:t>
      </w:r>
      <w:r>
        <w:rPr>
          <w:rFonts w:ascii="仿宋" w:hAnsi="仿宋" w:eastAsia="仿宋" w:cs="Times New Roman"/>
          <w:bCs/>
          <w:color w:val="000000"/>
          <w:kern w:val="2"/>
          <w:sz w:val="24"/>
          <w:szCs w:val="24"/>
        </w:rPr>
        <w:t>021年</w:t>
      </w:r>
      <w:r>
        <w:rPr>
          <w:rFonts w:hint="eastAsia" w:ascii="仿宋" w:hAnsi="仿宋" w:eastAsia="仿宋" w:cs="Times New Roman"/>
          <w:bCs/>
          <w:color w:val="000000"/>
          <w:kern w:val="2"/>
          <w:sz w:val="24"/>
          <w:szCs w:val="24"/>
        </w:rPr>
        <w:t>1-</w:t>
      </w:r>
      <w:r>
        <w:rPr>
          <w:rFonts w:ascii="仿宋" w:hAnsi="仿宋" w:eastAsia="仿宋" w:cs="Times New Roman"/>
          <w:bCs/>
          <w:color w:val="000000"/>
          <w:kern w:val="2"/>
          <w:sz w:val="24"/>
          <w:szCs w:val="24"/>
        </w:rPr>
        <w:t>9月的</w:t>
      </w:r>
      <w:r>
        <w:rPr>
          <w:rFonts w:hint="eastAsia" w:ascii="仿宋" w:hAnsi="仿宋" w:eastAsia="仿宋" w:cs="Times New Roman"/>
          <w:bCs/>
          <w:color w:val="000000"/>
          <w:kern w:val="2"/>
          <w:sz w:val="24"/>
          <w:szCs w:val="24"/>
          <w:lang w:val="en-US" w:eastAsia="zh-CN"/>
        </w:rPr>
        <w:t>主营业务</w:t>
      </w:r>
      <w:r>
        <w:rPr>
          <w:rFonts w:ascii="仿宋" w:hAnsi="仿宋" w:eastAsia="仿宋" w:cs="Times New Roman"/>
          <w:bCs/>
          <w:color w:val="000000"/>
          <w:kern w:val="2"/>
          <w:sz w:val="24"/>
          <w:szCs w:val="24"/>
        </w:rPr>
        <w:t>收入构成如下：</w:t>
      </w:r>
      <w:r>
        <w:rPr>
          <w:rFonts w:hint="eastAsia"/>
          <w:sz w:val="24"/>
          <w:szCs w:val="20"/>
        </w:rPr>
        <w:t xml:space="preserve"> </w:t>
      </w:r>
    </w:p>
    <w:tbl>
      <w:tblPr>
        <w:tblStyle w:val="10"/>
        <w:tblW w:w="5000" w:type="pct"/>
        <w:tblInd w:w="0" w:type="dxa"/>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Layout w:type="autofit"/>
        <w:tblCellMar>
          <w:top w:w="0" w:type="dxa"/>
          <w:left w:w="108" w:type="dxa"/>
          <w:bottom w:w="0" w:type="dxa"/>
          <w:right w:w="108" w:type="dxa"/>
        </w:tblCellMar>
      </w:tblPr>
      <w:tblGrid>
        <w:gridCol w:w="1806"/>
        <w:gridCol w:w="708"/>
        <w:gridCol w:w="1419"/>
        <w:gridCol w:w="1274"/>
        <w:gridCol w:w="1119"/>
        <w:gridCol w:w="928"/>
        <w:gridCol w:w="1272"/>
      </w:tblGrid>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vMerge w:val="restar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产品分类</w:t>
            </w:r>
          </w:p>
        </w:tc>
        <w:tc>
          <w:tcPr>
            <w:tcW w:w="415" w:type="pct"/>
            <w:vMerge w:val="restar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单位</w:t>
            </w:r>
          </w:p>
        </w:tc>
        <w:tc>
          <w:tcPr>
            <w:tcW w:w="3525" w:type="pct"/>
            <w:gridSpan w:val="5"/>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2021年1-9月份</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288" w:hRule="atLeast"/>
        </w:trPr>
        <w:tc>
          <w:tcPr>
            <w:tcW w:w="1059" w:type="pct"/>
            <w:vMerge w:val="continue"/>
            <w:vAlign w:val="center"/>
          </w:tcPr>
          <w:p>
            <w:pPr>
              <w:widowControl/>
              <w:autoSpaceDE/>
              <w:autoSpaceDN/>
              <w:jc w:val="center"/>
              <w:rPr>
                <w:rFonts w:ascii="Arial" w:hAnsi="Arial" w:cs="Arial" w:eastAsiaTheme="minorEastAsia"/>
                <w:b/>
                <w:bCs/>
                <w:color w:val="000000"/>
                <w:sz w:val="18"/>
                <w:szCs w:val="18"/>
              </w:rPr>
            </w:pPr>
          </w:p>
        </w:tc>
        <w:tc>
          <w:tcPr>
            <w:tcW w:w="415" w:type="pct"/>
            <w:vMerge w:val="continue"/>
            <w:vAlign w:val="center"/>
          </w:tcPr>
          <w:p>
            <w:pPr>
              <w:widowControl/>
              <w:autoSpaceDE/>
              <w:autoSpaceDN/>
              <w:jc w:val="center"/>
              <w:rPr>
                <w:rFonts w:ascii="Arial" w:hAnsi="Arial" w:cs="Arial" w:eastAsiaTheme="minorEastAsia"/>
                <w:b/>
                <w:bCs/>
                <w:color w:val="000000"/>
                <w:sz w:val="18"/>
                <w:szCs w:val="18"/>
              </w:rPr>
            </w:pPr>
          </w:p>
        </w:tc>
        <w:tc>
          <w:tcPr>
            <w:tcW w:w="832" w:type="pct"/>
            <w:vMerge w:val="restart"/>
            <w:shd w:val="clear" w:color="auto" w:fill="F1F1F1" w:themeFill="background1" w:themeFillShade="F2"/>
            <w:vAlign w:val="center"/>
          </w:tcPr>
          <w:p>
            <w:pPr>
              <w:widowControl/>
              <w:autoSpaceDE/>
              <w:autoSpaceDN/>
              <w:jc w:val="center"/>
              <w:rPr>
                <w:rFonts w:hint="default" w:ascii="Arial" w:hAnsi="Arial" w:cs="Arial" w:eastAsiaTheme="minorEastAsia"/>
                <w:b/>
                <w:bCs/>
                <w:color w:val="000000"/>
                <w:sz w:val="18"/>
                <w:szCs w:val="18"/>
                <w:lang w:val="en-US" w:eastAsia="zh-CN"/>
              </w:rPr>
            </w:pPr>
            <w:r>
              <w:rPr>
                <w:rFonts w:hint="eastAsia" w:ascii="Arial" w:hAnsi="Arial" w:cs="Arial" w:eastAsiaTheme="minorEastAsia"/>
                <w:b/>
                <w:bCs/>
                <w:color w:val="000000"/>
                <w:sz w:val="18"/>
                <w:szCs w:val="18"/>
                <w:lang w:val="en-US" w:eastAsia="zh-CN"/>
              </w:rPr>
              <w:t>产能（注 1）</w:t>
            </w:r>
          </w:p>
        </w:tc>
        <w:tc>
          <w:tcPr>
            <w:tcW w:w="747" w:type="pct"/>
            <w:vMerge w:val="restart"/>
            <w:shd w:val="clear" w:color="auto" w:fill="F1F1F1" w:themeFill="background1" w:themeFillShade="F2"/>
            <w:vAlign w:val="center"/>
          </w:tcPr>
          <w:p>
            <w:pPr>
              <w:widowControl/>
              <w:autoSpaceDE/>
              <w:autoSpaceDN/>
              <w:jc w:val="center"/>
              <w:rPr>
                <w:rFonts w:hint="eastAsia" w:ascii="Arial" w:hAnsi="Arial" w:cs="Arial" w:eastAsiaTheme="minorEastAsia"/>
                <w:b/>
                <w:bCs/>
                <w:color w:val="000000"/>
                <w:sz w:val="18"/>
                <w:szCs w:val="18"/>
                <w:lang w:val="en-US" w:eastAsia="zh-CN"/>
              </w:rPr>
            </w:pPr>
            <w:r>
              <w:rPr>
                <w:rFonts w:hint="eastAsia" w:ascii="Arial" w:hAnsi="Arial" w:cs="Arial" w:eastAsiaTheme="minorEastAsia"/>
                <w:b/>
                <w:bCs/>
                <w:color w:val="000000"/>
                <w:sz w:val="18"/>
                <w:szCs w:val="18"/>
                <w:lang w:val="en-US" w:eastAsia="zh-CN"/>
              </w:rPr>
              <w:t>产量</w:t>
            </w:r>
          </w:p>
        </w:tc>
        <w:tc>
          <w:tcPr>
            <w:tcW w:w="656"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收入</w:t>
            </w:r>
          </w:p>
        </w:tc>
        <w:tc>
          <w:tcPr>
            <w:tcW w:w="544"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收入</w:t>
            </w:r>
          </w:p>
        </w:tc>
        <w:tc>
          <w:tcPr>
            <w:tcW w:w="745" w:type="pct"/>
            <w:vMerge w:val="restart"/>
            <w:shd w:val="clear" w:color="000000" w:fill="F2F2F2"/>
            <w:vAlign w:val="center"/>
          </w:tcPr>
          <w:p>
            <w:pPr>
              <w:widowControl/>
              <w:autoSpaceDE/>
              <w:autoSpaceDN/>
              <w:jc w:val="center"/>
              <w:rPr>
                <w:rFonts w:hint="eastAsia" w:ascii="Arial" w:hAnsi="Arial" w:cs="Arial" w:eastAsiaTheme="minorEastAsia"/>
                <w:b/>
                <w:bCs/>
                <w:color w:val="000000"/>
                <w:sz w:val="18"/>
                <w:szCs w:val="18"/>
              </w:rPr>
            </w:pPr>
            <w:r>
              <w:rPr>
                <w:rFonts w:ascii="Arial" w:hAnsi="Arial" w:cs="Arial" w:eastAsiaTheme="minorEastAsia"/>
                <w:b/>
                <w:bCs/>
                <w:color w:val="000000"/>
                <w:sz w:val="18"/>
                <w:szCs w:val="18"/>
              </w:rPr>
              <w:t>销量（注</w:t>
            </w:r>
            <w:r>
              <w:rPr>
                <w:rFonts w:hint="eastAsia" w:ascii="Arial" w:hAnsi="Arial" w:cs="Arial" w:eastAsiaTheme="minorEastAsia"/>
                <w:b/>
                <w:bCs/>
                <w:color w:val="000000"/>
                <w:sz w:val="18"/>
                <w:szCs w:val="18"/>
              </w:rPr>
              <w:t>2）</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vMerge w:val="continue"/>
            <w:vAlign w:val="center"/>
          </w:tcPr>
          <w:p>
            <w:pPr>
              <w:widowControl/>
              <w:autoSpaceDE/>
              <w:autoSpaceDN/>
              <w:jc w:val="center"/>
              <w:rPr>
                <w:rFonts w:ascii="Arial" w:hAnsi="Arial" w:cs="Arial" w:eastAsiaTheme="minorEastAsia"/>
                <w:b/>
                <w:bCs/>
                <w:color w:val="000000"/>
                <w:sz w:val="18"/>
                <w:szCs w:val="18"/>
              </w:rPr>
            </w:pPr>
          </w:p>
        </w:tc>
        <w:tc>
          <w:tcPr>
            <w:tcW w:w="415" w:type="pct"/>
            <w:vMerge w:val="continue"/>
            <w:vAlign w:val="center"/>
          </w:tcPr>
          <w:p>
            <w:pPr>
              <w:widowControl/>
              <w:autoSpaceDE/>
              <w:autoSpaceDN/>
              <w:jc w:val="center"/>
              <w:rPr>
                <w:rFonts w:ascii="Arial" w:hAnsi="Arial" w:cs="Arial" w:eastAsiaTheme="minorEastAsia"/>
                <w:b/>
                <w:bCs/>
                <w:color w:val="000000"/>
                <w:sz w:val="18"/>
                <w:szCs w:val="18"/>
              </w:rPr>
            </w:pPr>
          </w:p>
        </w:tc>
        <w:tc>
          <w:tcPr>
            <w:tcW w:w="832" w:type="pct"/>
            <w:vMerge w:val="continue"/>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p>
        </w:tc>
        <w:tc>
          <w:tcPr>
            <w:tcW w:w="747" w:type="pct"/>
            <w:vMerge w:val="continue"/>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p>
        </w:tc>
        <w:tc>
          <w:tcPr>
            <w:tcW w:w="656"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（万元）</w:t>
            </w:r>
          </w:p>
        </w:tc>
        <w:tc>
          <w:tcPr>
            <w:tcW w:w="544"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占比</w:t>
            </w:r>
          </w:p>
        </w:tc>
        <w:tc>
          <w:tcPr>
            <w:tcW w:w="745" w:type="pct"/>
            <w:vMerge w:val="continue"/>
            <w:vAlign w:val="center"/>
          </w:tcPr>
          <w:p>
            <w:pPr>
              <w:widowControl/>
              <w:autoSpaceDE/>
              <w:autoSpaceDN/>
              <w:jc w:val="center"/>
              <w:rPr>
                <w:rFonts w:ascii="Arial" w:hAnsi="Arial" w:cs="Arial" w:eastAsiaTheme="minorEastAsia"/>
                <w:b/>
                <w:bCs/>
                <w:color w:val="000000"/>
                <w:sz w:val="18"/>
                <w:szCs w:val="18"/>
              </w:rPr>
            </w:pP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60"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金属面节能隔热保温夹芯板</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平方米</w:t>
            </w:r>
          </w:p>
        </w:tc>
        <w:tc>
          <w:tcPr>
            <w:tcW w:w="832"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1,762,500.00</w:t>
            </w:r>
          </w:p>
        </w:tc>
        <w:tc>
          <w:tcPr>
            <w:tcW w:w="747"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2,298,585.50</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40,446.90</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90.04%</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1,394,059.42</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冷库门、</w:t>
            </w:r>
          </w:p>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工业建筑门</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樘</w:t>
            </w:r>
          </w:p>
        </w:tc>
        <w:tc>
          <w:tcPr>
            <w:tcW w:w="832"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7,950.00</w:t>
            </w:r>
          </w:p>
        </w:tc>
        <w:tc>
          <w:tcPr>
            <w:tcW w:w="747"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8,365.00</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4,012.81</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8.93%</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7,990.00</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PrEx>
        <w:trPr>
          <w:trHeight w:val="444"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平台、咨询业务等</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832"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747"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463.56</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1.03%</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PrEx>
        <w:trPr>
          <w:trHeight w:val="300" w:hRule="atLeast"/>
        </w:trPr>
        <w:tc>
          <w:tcPr>
            <w:tcW w:w="1059"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合计</w:t>
            </w:r>
          </w:p>
        </w:tc>
        <w:tc>
          <w:tcPr>
            <w:tcW w:w="415"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832"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747"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656"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44,923.27</w:t>
            </w:r>
          </w:p>
        </w:tc>
        <w:tc>
          <w:tcPr>
            <w:tcW w:w="544"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100.00%</w:t>
            </w:r>
          </w:p>
        </w:tc>
        <w:tc>
          <w:tcPr>
            <w:tcW w:w="745"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vMerge w:val="restar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产品分类</w:t>
            </w:r>
          </w:p>
        </w:tc>
        <w:tc>
          <w:tcPr>
            <w:tcW w:w="415" w:type="pct"/>
            <w:vMerge w:val="restar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单位</w:t>
            </w:r>
          </w:p>
        </w:tc>
        <w:tc>
          <w:tcPr>
            <w:tcW w:w="3525" w:type="pct"/>
            <w:gridSpan w:val="5"/>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2020年</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288" w:hRule="atLeast"/>
        </w:trPr>
        <w:tc>
          <w:tcPr>
            <w:tcW w:w="1059" w:type="pct"/>
            <w:vMerge w:val="continue"/>
            <w:vAlign w:val="center"/>
          </w:tcPr>
          <w:p>
            <w:pPr>
              <w:widowControl/>
              <w:autoSpaceDE/>
              <w:autoSpaceDN/>
              <w:jc w:val="center"/>
              <w:rPr>
                <w:rFonts w:ascii="Arial" w:hAnsi="Arial" w:cs="Arial" w:eastAsiaTheme="minorEastAsia"/>
                <w:b/>
                <w:bCs/>
                <w:color w:val="000000"/>
                <w:sz w:val="18"/>
                <w:szCs w:val="18"/>
              </w:rPr>
            </w:pPr>
          </w:p>
        </w:tc>
        <w:tc>
          <w:tcPr>
            <w:tcW w:w="415" w:type="pct"/>
            <w:vMerge w:val="continue"/>
            <w:vAlign w:val="center"/>
          </w:tcPr>
          <w:p>
            <w:pPr>
              <w:widowControl/>
              <w:autoSpaceDE/>
              <w:autoSpaceDN/>
              <w:jc w:val="center"/>
              <w:rPr>
                <w:rFonts w:ascii="Arial" w:hAnsi="Arial" w:cs="Arial" w:eastAsiaTheme="minorEastAsia"/>
                <w:b/>
                <w:bCs/>
                <w:color w:val="000000"/>
                <w:sz w:val="18"/>
                <w:szCs w:val="18"/>
              </w:rPr>
            </w:pPr>
          </w:p>
        </w:tc>
        <w:tc>
          <w:tcPr>
            <w:tcW w:w="832" w:type="pct"/>
            <w:vMerge w:val="restart"/>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r>
              <w:rPr>
                <w:rFonts w:hint="eastAsia" w:ascii="Arial" w:hAnsi="Arial" w:cs="Arial" w:eastAsiaTheme="minorEastAsia"/>
                <w:b/>
                <w:bCs/>
                <w:color w:val="000000"/>
                <w:sz w:val="18"/>
                <w:szCs w:val="18"/>
                <w:lang w:val="en-US" w:eastAsia="zh-CN"/>
              </w:rPr>
              <w:t>产能</w:t>
            </w:r>
          </w:p>
        </w:tc>
        <w:tc>
          <w:tcPr>
            <w:tcW w:w="747" w:type="pct"/>
            <w:vMerge w:val="restart"/>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r>
              <w:rPr>
                <w:rFonts w:hint="eastAsia" w:ascii="Arial" w:hAnsi="Arial" w:cs="Arial" w:eastAsiaTheme="minorEastAsia"/>
                <w:b/>
                <w:bCs/>
                <w:color w:val="000000"/>
                <w:sz w:val="18"/>
                <w:szCs w:val="18"/>
                <w:lang w:val="en-US" w:eastAsia="zh-CN"/>
              </w:rPr>
              <w:t>产量</w:t>
            </w:r>
          </w:p>
        </w:tc>
        <w:tc>
          <w:tcPr>
            <w:tcW w:w="656"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收入</w:t>
            </w:r>
          </w:p>
        </w:tc>
        <w:tc>
          <w:tcPr>
            <w:tcW w:w="544"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收入</w:t>
            </w:r>
          </w:p>
        </w:tc>
        <w:tc>
          <w:tcPr>
            <w:tcW w:w="745" w:type="pct"/>
            <w:vMerge w:val="restart"/>
            <w:shd w:val="clear" w:color="000000" w:fill="F2F2F2"/>
            <w:vAlign w:val="center"/>
          </w:tcPr>
          <w:p>
            <w:pPr>
              <w:widowControl/>
              <w:autoSpaceDE/>
              <w:autoSpaceDN/>
              <w:jc w:val="center"/>
              <w:rPr>
                <w:rFonts w:hint="eastAsia" w:ascii="Arial" w:hAnsi="Arial" w:cs="Arial" w:eastAsiaTheme="minorEastAsia"/>
                <w:b/>
                <w:bCs/>
                <w:color w:val="000000"/>
                <w:sz w:val="18"/>
                <w:szCs w:val="18"/>
              </w:rPr>
            </w:pPr>
            <w:r>
              <w:rPr>
                <w:rFonts w:ascii="Arial" w:hAnsi="Arial" w:cs="Arial" w:eastAsiaTheme="minorEastAsia"/>
                <w:b/>
                <w:bCs/>
                <w:color w:val="000000"/>
                <w:sz w:val="18"/>
                <w:szCs w:val="18"/>
              </w:rPr>
              <w:t>销量</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vMerge w:val="continue"/>
            <w:vAlign w:val="center"/>
          </w:tcPr>
          <w:p>
            <w:pPr>
              <w:widowControl/>
              <w:autoSpaceDE/>
              <w:autoSpaceDN/>
              <w:jc w:val="center"/>
              <w:rPr>
                <w:rFonts w:ascii="Arial" w:hAnsi="Arial" w:cs="Arial" w:eastAsiaTheme="minorEastAsia"/>
                <w:b/>
                <w:bCs/>
                <w:color w:val="000000"/>
                <w:sz w:val="18"/>
                <w:szCs w:val="18"/>
              </w:rPr>
            </w:pPr>
          </w:p>
        </w:tc>
        <w:tc>
          <w:tcPr>
            <w:tcW w:w="415" w:type="pct"/>
            <w:vMerge w:val="continue"/>
            <w:vAlign w:val="center"/>
          </w:tcPr>
          <w:p>
            <w:pPr>
              <w:widowControl/>
              <w:autoSpaceDE/>
              <w:autoSpaceDN/>
              <w:jc w:val="center"/>
              <w:rPr>
                <w:rFonts w:ascii="Arial" w:hAnsi="Arial" w:cs="Arial" w:eastAsiaTheme="minorEastAsia"/>
                <w:b/>
                <w:bCs/>
                <w:color w:val="000000"/>
                <w:sz w:val="18"/>
                <w:szCs w:val="18"/>
              </w:rPr>
            </w:pPr>
          </w:p>
        </w:tc>
        <w:tc>
          <w:tcPr>
            <w:tcW w:w="832" w:type="pct"/>
            <w:vMerge w:val="continue"/>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p>
        </w:tc>
        <w:tc>
          <w:tcPr>
            <w:tcW w:w="747" w:type="pct"/>
            <w:vMerge w:val="continue"/>
            <w:shd w:val="clear" w:color="auto" w:fill="F1F1F1" w:themeFill="background1" w:themeFillShade="F2"/>
            <w:vAlign w:val="center"/>
          </w:tcPr>
          <w:p>
            <w:pPr>
              <w:widowControl/>
              <w:autoSpaceDE/>
              <w:autoSpaceDN/>
              <w:jc w:val="center"/>
              <w:rPr>
                <w:rFonts w:ascii="Arial" w:hAnsi="Arial" w:cs="Arial" w:eastAsiaTheme="minorEastAsia"/>
                <w:b/>
                <w:bCs/>
                <w:color w:val="000000"/>
                <w:sz w:val="18"/>
                <w:szCs w:val="18"/>
              </w:rPr>
            </w:pPr>
          </w:p>
        </w:tc>
        <w:tc>
          <w:tcPr>
            <w:tcW w:w="656"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（万元）</w:t>
            </w:r>
          </w:p>
        </w:tc>
        <w:tc>
          <w:tcPr>
            <w:tcW w:w="544" w:type="pct"/>
            <w:shd w:val="clear" w:color="000000" w:fill="F2F2F2"/>
            <w:vAlign w:val="center"/>
          </w:tcPr>
          <w:p>
            <w:pPr>
              <w:widowControl/>
              <w:autoSpaceDE/>
              <w:autoSpaceDN/>
              <w:jc w:val="center"/>
              <w:rPr>
                <w:rFonts w:ascii="Arial" w:hAnsi="Arial" w:cs="Arial" w:eastAsiaTheme="minorEastAsia"/>
                <w:b/>
                <w:bCs/>
                <w:color w:val="000000"/>
                <w:sz w:val="18"/>
                <w:szCs w:val="18"/>
              </w:rPr>
            </w:pPr>
            <w:r>
              <w:rPr>
                <w:rFonts w:ascii="Arial" w:hAnsi="Arial" w:cs="Arial" w:eastAsiaTheme="minorEastAsia"/>
                <w:b/>
                <w:bCs/>
                <w:color w:val="000000"/>
                <w:sz w:val="18"/>
                <w:szCs w:val="18"/>
              </w:rPr>
              <w:t>占比</w:t>
            </w:r>
          </w:p>
        </w:tc>
        <w:tc>
          <w:tcPr>
            <w:tcW w:w="745" w:type="pct"/>
            <w:vMerge w:val="continue"/>
            <w:vAlign w:val="center"/>
          </w:tcPr>
          <w:p>
            <w:pPr>
              <w:widowControl/>
              <w:autoSpaceDE/>
              <w:autoSpaceDN/>
              <w:jc w:val="center"/>
              <w:rPr>
                <w:rFonts w:ascii="Arial" w:hAnsi="Arial" w:cs="Arial" w:eastAsiaTheme="minorEastAsia"/>
                <w:b/>
                <w:bCs/>
                <w:color w:val="000000"/>
                <w:sz w:val="18"/>
                <w:szCs w:val="18"/>
              </w:rPr>
            </w:pP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60"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金属面节能隔热保温夹芯板</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平方米</w:t>
            </w:r>
          </w:p>
        </w:tc>
        <w:tc>
          <w:tcPr>
            <w:tcW w:w="832"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2,250,000.00</w:t>
            </w:r>
          </w:p>
        </w:tc>
        <w:tc>
          <w:tcPr>
            <w:tcW w:w="747"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2,777,419.19</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70,867.57</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92.04%</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2,777,915.32</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300"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冷库门、</w:t>
            </w:r>
          </w:p>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工业建筑门</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樘</w:t>
            </w:r>
          </w:p>
        </w:tc>
        <w:tc>
          <w:tcPr>
            <w:tcW w:w="832"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10,600.00</w:t>
            </w:r>
          </w:p>
        </w:tc>
        <w:tc>
          <w:tcPr>
            <w:tcW w:w="747" w:type="pct"/>
            <w:shd w:val="clear" w:color="auto" w:fill="auto"/>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10,577.00</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5,175.28</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6.72%</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10,074.00</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44" w:hRule="atLeast"/>
        </w:trPr>
        <w:tc>
          <w:tcPr>
            <w:tcW w:w="1059"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平台、咨询业务等</w:t>
            </w:r>
          </w:p>
        </w:tc>
        <w:tc>
          <w:tcPr>
            <w:tcW w:w="41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832"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747"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c>
          <w:tcPr>
            <w:tcW w:w="656"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957.27</w:t>
            </w:r>
          </w:p>
        </w:tc>
        <w:tc>
          <w:tcPr>
            <w:tcW w:w="544"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1.24%</w:t>
            </w:r>
          </w:p>
        </w:tc>
        <w:tc>
          <w:tcPr>
            <w:tcW w:w="745" w:type="pct"/>
            <w:shd w:val="clear" w:color="000000" w:fill="FFFFFF"/>
            <w:vAlign w:val="center"/>
          </w:tcPr>
          <w:p>
            <w:pPr>
              <w:widowControl/>
              <w:autoSpaceDE/>
              <w:autoSpaceDN/>
              <w:jc w:val="center"/>
              <w:rPr>
                <w:rFonts w:ascii="Arial" w:hAnsi="Arial" w:cs="Arial" w:eastAsiaTheme="minorEastAsia"/>
                <w:color w:val="000000"/>
                <w:sz w:val="18"/>
                <w:szCs w:val="18"/>
              </w:rPr>
            </w:pPr>
            <w:r>
              <w:rPr>
                <w:rFonts w:ascii="Arial" w:hAnsi="Arial" w:cs="Arial" w:eastAsiaTheme="minorEastAsia"/>
                <w:color w:val="000000"/>
                <w:sz w:val="18"/>
                <w:szCs w:val="18"/>
              </w:rPr>
              <w:t>--</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8" w:space="0"/>
            <w:insideH w:val="single" w:color="4F81BD" w:themeColor="accent1" w:sz="8" w:space="0"/>
            <w:insideV w:val="single" w:color="4F81BD" w:themeColor="accent1" w:sz="8" w:space="0"/>
          </w:tblBorders>
        </w:tblPrEx>
        <w:trPr>
          <w:trHeight w:val="300" w:hRule="atLeast"/>
        </w:trPr>
        <w:tc>
          <w:tcPr>
            <w:tcW w:w="1059"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合计</w:t>
            </w:r>
          </w:p>
        </w:tc>
        <w:tc>
          <w:tcPr>
            <w:tcW w:w="415"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832"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747"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c>
          <w:tcPr>
            <w:tcW w:w="656"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77,000.11</w:t>
            </w:r>
          </w:p>
        </w:tc>
        <w:tc>
          <w:tcPr>
            <w:tcW w:w="544"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100.00%</w:t>
            </w:r>
          </w:p>
        </w:tc>
        <w:tc>
          <w:tcPr>
            <w:tcW w:w="745" w:type="pct"/>
            <w:shd w:val="clear" w:color="000000" w:fill="FFFFFF"/>
            <w:vAlign w:val="center"/>
          </w:tcPr>
          <w:p>
            <w:pPr>
              <w:widowControl/>
              <w:autoSpaceDE/>
              <w:autoSpaceDN/>
              <w:jc w:val="center"/>
              <w:rPr>
                <w:rFonts w:ascii="Arial" w:hAnsi="Arial" w:cs="Arial" w:eastAsiaTheme="minorEastAsia"/>
                <w:b/>
                <w:color w:val="000000"/>
                <w:sz w:val="18"/>
                <w:szCs w:val="18"/>
              </w:rPr>
            </w:pPr>
            <w:r>
              <w:rPr>
                <w:rFonts w:ascii="Arial" w:hAnsi="Arial" w:cs="Arial" w:eastAsiaTheme="minorEastAsia"/>
                <w:b/>
                <w:color w:val="000000"/>
                <w:sz w:val="18"/>
                <w:szCs w:val="18"/>
              </w:rPr>
              <w:t>--</w:t>
            </w:r>
          </w:p>
        </w:tc>
      </w:tr>
    </w:tbl>
    <w:p>
      <w:pPr>
        <w:topLinePunct/>
        <w:ind w:firstLine="420" w:firstLineChars="200"/>
        <w:jc w:val="both"/>
        <w:outlineLvl w:val="0"/>
        <w:rPr>
          <w:rFonts w:ascii="仿宋" w:hAnsi="仿宋" w:eastAsia="仿宋" w:cs="Arial"/>
          <w:sz w:val="21"/>
          <w:szCs w:val="21"/>
        </w:rPr>
      </w:pPr>
      <w:r>
        <w:rPr>
          <w:rFonts w:ascii="仿宋" w:hAnsi="仿宋" w:eastAsia="仿宋" w:cs="Arial"/>
          <w:sz w:val="21"/>
          <w:szCs w:val="21"/>
        </w:rPr>
        <w:t>注</w:t>
      </w:r>
      <w:r>
        <w:rPr>
          <w:rFonts w:hint="eastAsia" w:ascii="仿宋" w:hAnsi="仿宋" w:eastAsia="仿宋" w:cs="Arial"/>
          <w:sz w:val="21"/>
          <w:szCs w:val="21"/>
        </w:rPr>
        <w:t>1</w:t>
      </w:r>
      <w:r>
        <w:rPr>
          <w:rFonts w:ascii="仿宋" w:hAnsi="仿宋" w:eastAsia="仿宋" w:cs="Arial"/>
          <w:sz w:val="21"/>
          <w:szCs w:val="21"/>
        </w:rPr>
        <w:t>：2021年1-9月产能按照全年产</w:t>
      </w:r>
      <w:r>
        <w:rPr>
          <w:rFonts w:hint="eastAsia" w:ascii="仿宋" w:hAnsi="仿宋" w:eastAsia="仿宋" w:cs="Arial"/>
          <w:sz w:val="21"/>
          <w:szCs w:val="21"/>
          <w:lang w:val="en-US" w:eastAsia="zh-CN"/>
        </w:rPr>
        <w:t>能</w:t>
      </w:r>
      <w:r>
        <w:rPr>
          <w:rFonts w:ascii="仿宋" w:hAnsi="仿宋" w:eastAsia="仿宋" w:cs="Arial"/>
          <w:sz w:val="21"/>
          <w:szCs w:val="21"/>
        </w:rPr>
        <w:t>×3/4折算所得。</w:t>
      </w:r>
    </w:p>
    <w:p>
      <w:pPr>
        <w:topLinePunct/>
        <w:ind w:firstLine="420" w:firstLineChars="200"/>
        <w:jc w:val="both"/>
        <w:outlineLvl w:val="0"/>
        <w:rPr>
          <w:rFonts w:ascii="仿宋" w:hAnsi="仿宋" w:eastAsia="仿宋" w:cs="Arial"/>
          <w:sz w:val="21"/>
          <w:szCs w:val="21"/>
        </w:rPr>
      </w:pPr>
      <w:r>
        <w:rPr>
          <w:rFonts w:hint="eastAsia" w:ascii="仿宋" w:hAnsi="仿宋" w:eastAsia="仿宋" w:cs="Arial"/>
          <w:sz w:val="21"/>
          <w:szCs w:val="21"/>
        </w:rPr>
        <w:t>注2：因公司的销售分为带安装服务的产品销售和不带安装的产品销售，其中带安装服务的产品销售的收入确认时点为公司根据合同约定将产品交付给购货方、安装完成、取得客户验收且金额可以可靠计量时确认收入。而产量统计依据产品在车间生产完成入库时点计算而得，并不包括安装服务阶段。生产完成与安装服务完成之间存在一定的时间差，导致产量与销量指标并非完全同步。</w:t>
      </w:r>
    </w:p>
    <w:p>
      <w:pPr>
        <w:autoSpaceDE/>
        <w:autoSpaceDN/>
        <w:spacing w:line="360" w:lineRule="auto"/>
        <w:ind w:firstLine="480" w:firstLineChars="200"/>
        <w:jc w:val="both"/>
        <w:rPr>
          <w:rFonts w:hint="eastAsia" w:ascii="仿宋" w:hAnsi="仿宋" w:eastAsia="仿宋" w:cs="Times New Roman"/>
          <w:bCs/>
          <w:color w:val="000000"/>
          <w:kern w:val="2"/>
          <w:sz w:val="24"/>
          <w:szCs w:val="24"/>
        </w:rPr>
      </w:pPr>
      <w:r>
        <w:rPr>
          <w:rFonts w:ascii="仿宋" w:hAnsi="仿宋" w:eastAsia="仿宋" w:cs="Times New Roman"/>
          <w:bCs/>
          <w:color w:val="000000"/>
          <w:kern w:val="2"/>
          <w:sz w:val="24"/>
          <w:szCs w:val="24"/>
        </w:rPr>
        <w:t>由上表可知，</w:t>
      </w:r>
      <w:r>
        <w:rPr>
          <w:rFonts w:hint="eastAsia" w:ascii="仿宋" w:hAnsi="仿宋" w:eastAsia="仿宋" w:cs="Times New Roman"/>
          <w:bCs/>
          <w:color w:val="000000"/>
          <w:kern w:val="2"/>
          <w:sz w:val="24"/>
          <w:szCs w:val="24"/>
        </w:rPr>
        <w:t>20</w:t>
      </w:r>
      <w:r>
        <w:rPr>
          <w:rFonts w:ascii="仿宋" w:hAnsi="仿宋" w:eastAsia="仿宋" w:cs="Times New Roman"/>
          <w:bCs/>
          <w:color w:val="000000"/>
          <w:kern w:val="2"/>
          <w:sz w:val="24"/>
          <w:szCs w:val="24"/>
        </w:rPr>
        <w:t>20年及</w:t>
      </w:r>
      <w:r>
        <w:rPr>
          <w:rFonts w:hint="eastAsia" w:ascii="仿宋" w:hAnsi="仿宋" w:eastAsia="仿宋" w:cs="Times New Roman"/>
          <w:bCs/>
          <w:color w:val="000000"/>
          <w:kern w:val="2"/>
          <w:sz w:val="24"/>
          <w:szCs w:val="24"/>
        </w:rPr>
        <w:t>20</w:t>
      </w:r>
      <w:r>
        <w:rPr>
          <w:rFonts w:ascii="仿宋" w:hAnsi="仿宋" w:eastAsia="仿宋" w:cs="Times New Roman"/>
          <w:bCs/>
          <w:color w:val="000000"/>
          <w:kern w:val="2"/>
          <w:sz w:val="24"/>
          <w:szCs w:val="24"/>
        </w:rPr>
        <w:t>21年</w:t>
      </w:r>
      <w:r>
        <w:rPr>
          <w:rFonts w:hint="eastAsia" w:ascii="仿宋" w:hAnsi="仿宋" w:eastAsia="仿宋" w:cs="Times New Roman"/>
          <w:bCs/>
          <w:color w:val="000000"/>
          <w:kern w:val="2"/>
          <w:sz w:val="24"/>
          <w:szCs w:val="24"/>
        </w:rPr>
        <w:t>1-</w:t>
      </w:r>
      <w:r>
        <w:rPr>
          <w:rFonts w:ascii="仿宋" w:hAnsi="仿宋" w:eastAsia="仿宋" w:cs="Times New Roman"/>
          <w:bCs/>
          <w:color w:val="000000"/>
          <w:kern w:val="2"/>
          <w:sz w:val="24"/>
          <w:szCs w:val="24"/>
        </w:rPr>
        <w:t>9月应用于冷库、工业节能建筑等装配式建筑的公司主要产品</w:t>
      </w:r>
      <w:r>
        <w:rPr>
          <w:rFonts w:hint="eastAsia" w:ascii="仿宋" w:hAnsi="仿宋" w:eastAsia="仿宋" w:cs="Times New Roman"/>
          <w:bCs/>
          <w:color w:val="000000"/>
          <w:kern w:val="2"/>
          <w:sz w:val="24"/>
          <w:szCs w:val="24"/>
        </w:rPr>
        <w:t>金属面节能隔热保温夹芯板占公司收入90%以上，同时亦属于装配式建筑部件的冷库门、工业建筑门占公司收入的6%以上。综上，公司产品绝大部分应有于冷库、工业节能建筑等装配式建筑。</w:t>
      </w:r>
    </w:p>
    <w:p>
      <w:pPr>
        <w:autoSpaceDE/>
        <w:autoSpaceDN/>
        <w:spacing w:line="360" w:lineRule="auto"/>
        <w:ind w:firstLine="480" w:firstLineChars="200"/>
        <w:jc w:val="both"/>
        <w:rPr>
          <w:rFonts w:hint="eastAsia" w:ascii="仿宋" w:hAnsi="仿宋" w:eastAsia="仿宋" w:cs="Times New Roman"/>
          <w:bCs/>
          <w:color w:val="000000"/>
          <w:kern w:val="2"/>
          <w:sz w:val="24"/>
          <w:szCs w:val="24"/>
          <w:lang w:eastAsia="zh-CN"/>
        </w:rPr>
      </w:pPr>
      <w:r>
        <w:rPr>
          <w:rFonts w:hint="eastAsia" w:ascii="仿宋" w:hAnsi="仿宋" w:eastAsia="仿宋" w:cs="Times New Roman"/>
          <w:bCs/>
          <w:color w:val="000000"/>
          <w:kern w:val="2"/>
          <w:sz w:val="24"/>
          <w:szCs w:val="24"/>
        </w:rPr>
        <w:t>20</w:t>
      </w:r>
      <w:r>
        <w:rPr>
          <w:rFonts w:ascii="仿宋" w:hAnsi="仿宋" w:eastAsia="仿宋" w:cs="Times New Roman"/>
          <w:bCs/>
          <w:color w:val="000000"/>
          <w:kern w:val="2"/>
          <w:sz w:val="24"/>
          <w:szCs w:val="24"/>
        </w:rPr>
        <w:t>22年</w:t>
      </w:r>
      <w:r>
        <w:rPr>
          <w:rFonts w:hint="eastAsia" w:ascii="仿宋" w:hAnsi="仿宋" w:eastAsia="仿宋" w:cs="Times New Roman"/>
          <w:bCs/>
          <w:color w:val="000000"/>
          <w:kern w:val="2"/>
          <w:sz w:val="24"/>
          <w:szCs w:val="24"/>
        </w:rPr>
        <w:t>3月11日住建部发布《“十四五”建筑节能与绿色建筑发展规划》，结合住建部2</w:t>
      </w:r>
      <w:r>
        <w:rPr>
          <w:rFonts w:ascii="仿宋" w:hAnsi="仿宋" w:eastAsia="仿宋" w:cs="Times New Roman"/>
          <w:bCs/>
          <w:color w:val="000000"/>
          <w:kern w:val="2"/>
          <w:sz w:val="24"/>
          <w:szCs w:val="24"/>
        </w:rPr>
        <w:t>021</w:t>
      </w:r>
      <w:r>
        <w:rPr>
          <w:rFonts w:hint="eastAsia" w:ascii="仿宋" w:hAnsi="仿宋" w:eastAsia="仿宋" w:cs="Times New Roman"/>
          <w:bCs/>
          <w:color w:val="000000"/>
          <w:kern w:val="2"/>
          <w:sz w:val="24"/>
          <w:szCs w:val="24"/>
        </w:rPr>
        <w:t>年10月出台、将在2</w:t>
      </w:r>
      <w:r>
        <w:rPr>
          <w:rFonts w:ascii="仿宋" w:hAnsi="仿宋" w:eastAsia="仿宋" w:cs="Times New Roman"/>
          <w:bCs/>
          <w:color w:val="000000"/>
          <w:kern w:val="2"/>
          <w:sz w:val="24"/>
          <w:szCs w:val="24"/>
        </w:rPr>
        <w:t>022</w:t>
      </w:r>
      <w:r>
        <w:rPr>
          <w:rFonts w:hint="eastAsia" w:ascii="仿宋" w:hAnsi="仿宋" w:eastAsia="仿宋" w:cs="Times New Roman"/>
          <w:bCs/>
          <w:color w:val="000000"/>
          <w:kern w:val="2"/>
          <w:sz w:val="24"/>
          <w:szCs w:val="24"/>
        </w:rPr>
        <w:t>年4月起实施的强制性国标《建筑节能与可再生能源利用通用规范》，建筑节能领域的顶层设计已愈发完善，在“双碳”目标下，政府对建筑节能尤其是居住建筑和公共建筑等民用建筑的绿色节能提出了更高的要求。但公司产品目前主要应用于冷库、工业节能建筑，尚未涉足民用建筑。所以，短期来看，行业政策的变化暂时不会对公司业绩产生重大影响</w:t>
      </w:r>
      <w:r>
        <w:rPr>
          <w:rFonts w:hint="eastAsia" w:ascii="仿宋" w:hAnsi="仿宋" w:eastAsia="仿宋" w:cs="Times New Roman"/>
          <w:bCs/>
          <w:color w:val="000000"/>
          <w:kern w:val="2"/>
          <w:sz w:val="24"/>
          <w:szCs w:val="24"/>
          <w:lang w:eastAsia="zh-CN"/>
        </w:rPr>
        <w:t>。</w:t>
      </w:r>
    </w:p>
    <w:p>
      <w:pPr>
        <w:autoSpaceDE/>
        <w:autoSpaceDN/>
        <w:spacing w:line="360" w:lineRule="auto"/>
        <w:ind w:firstLine="480" w:firstLineChars="200"/>
        <w:jc w:val="both"/>
        <w:rPr>
          <w:rFonts w:ascii="仿宋" w:hAnsi="仿宋" w:eastAsia="仿宋" w:cs="Times New Roman"/>
          <w:b/>
          <w:bCs/>
          <w:color w:val="000000"/>
          <w:kern w:val="2"/>
          <w:sz w:val="24"/>
          <w:szCs w:val="24"/>
        </w:rPr>
      </w:pPr>
      <w:r>
        <w:rPr>
          <w:rFonts w:ascii="仿宋" w:hAnsi="仿宋" w:eastAsia="仿宋" w:cs="Times New Roman"/>
          <w:bCs/>
          <w:color w:val="000000"/>
          <w:kern w:val="2"/>
          <w:sz w:val="24"/>
          <w:szCs w:val="24"/>
        </w:rPr>
        <w:t>综上，国家针对</w:t>
      </w:r>
      <w:r>
        <w:rPr>
          <w:rFonts w:hint="eastAsia" w:ascii="仿宋" w:hAnsi="仿宋" w:eastAsia="仿宋" w:cs="Times New Roman"/>
          <w:bCs/>
          <w:color w:val="000000"/>
          <w:kern w:val="2"/>
          <w:sz w:val="24"/>
          <w:szCs w:val="24"/>
          <w:lang w:val="en-US" w:eastAsia="zh-CN"/>
        </w:rPr>
        <w:t>装配式</w:t>
      </w:r>
      <w:r>
        <w:rPr>
          <w:rFonts w:hint="eastAsia" w:ascii="仿宋" w:hAnsi="仿宋" w:eastAsia="仿宋" w:cs="Times New Roman"/>
          <w:bCs/>
          <w:color w:val="000000"/>
          <w:kern w:val="2"/>
          <w:sz w:val="24"/>
          <w:szCs w:val="24"/>
        </w:rPr>
        <w:t>民用建筑的建筑节能相关政策对公司近期业绩不会产生重大影响</w:t>
      </w:r>
      <w:r>
        <w:rPr>
          <w:rFonts w:hint="eastAsia" w:ascii="仿宋" w:hAnsi="仿宋" w:eastAsia="仿宋" w:cs="Times New Roman"/>
          <w:bCs/>
          <w:color w:val="000000"/>
          <w:kern w:val="2"/>
          <w:sz w:val="24"/>
          <w:szCs w:val="24"/>
          <w:lang w:eastAsia="zh-CN"/>
        </w:rPr>
        <w:t>。</w:t>
      </w:r>
      <w:r>
        <w:rPr>
          <w:rFonts w:hint="eastAsia" w:ascii="仿宋" w:hAnsi="仿宋" w:eastAsia="仿宋" w:cs="Times New Roman"/>
          <w:b/>
          <w:bCs/>
          <w:color w:val="000000"/>
          <w:kern w:val="2"/>
          <w:sz w:val="24"/>
          <w:szCs w:val="24"/>
        </w:rPr>
        <w:t>敬请广大投资者立足于了解公司业务和产品，防范概念炒作，注意投资风险，理性决策，审慎投资。</w:t>
      </w:r>
    </w:p>
    <w:p>
      <w:pPr>
        <w:autoSpaceDE/>
        <w:autoSpaceDN/>
        <w:spacing w:line="360" w:lineRule="auto"/>
        <w:ind w:firstLine="480" w:firstLineChars="200"/>
        <w:jc w:val="both"/>
        <w:rPr>
          <w:rFonts w:ascii="仿宋" w:hAnsi="仿宋" w:eastAsia="仿宋" w:cs="Times New Roman"/>
          <w:bCs/>
          <w:color w:val="000000"/>
          <w:kern w:val="2"/>
          <w:sz w:val="24"/>
          <w:szCs w:val="24"/>
          <w:lang w:eastAsia="zh-Hans"/>
        </w:rPr>
      </w:pPr>
    </w:p>
    <w:p>
      <w:pPr>
        <w:numPr>
          <w:ilvl w:val="0"/>
          <w:numId w:val="1"/>
        </w:num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请你公司说明2021年度业绩是否存在应披露业绩预告的情形，以及业绩信息是否向审计机构以外的第三方提供，如是，请说明相关情况并补充披露主要财务指标。</w:t>
      </w:r>
    </w:p>
    <w:p>
      <w:pPr>
        <w:autoSpaceDE/>
        <w:autoSpaceDN/>
        <w:spacing w:line="360" w:lineRule="auto"/>
        <w:ind w:firstLine="482" w:firstLineChars="200"/>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autoSpaceDE/>
        <w:autoSpaceDN/>
        <w:spacing w:line="360" w:lineRule="auto"/>
        <w:ind w:firstLine="480" w:firstLineChars="200"/>
        <w:jc w:val="both"/>
        <w:rPr>
          <w:rFonts w:ascii="仿宋" w:hAnsi="仿宋" w:eastAsia="仿宋" w:cs="Times New Roman"/>
          <w:bCs/>
          <w:color w:val="000000"/>
          <w:kern w:val="2"/>
          <w:sz w:val="24"/>
          <w:szCs w:val="24"/>
          <w:lang w:eastAsia="zh-Hans"/>
        </w:rPr>
      </w:pPr>
      <w:r>
        <w:rPr>
          <w:rFonts w:hint="eastAsia" w:ascii="仿宋" w:hAnsi="仿宋" w:eastAsia="仿宋" w:cs="Times New Roman"/>
          <w:bCs/>
          <w:color w:val="000000"/>
          <w:kern w:val="2"/>
          <w:sz w:val="24"/>
          <w:szCs w:val="24"/>
        </w:rPr>
        <w:t>公司不存在应披露业绩预告的情形，也不存在业绩信息向审计机构以外的第三方提供的情形。</w:t>
      </w:r>
    </w:p>
    <w:p>
      <w:pPr>
        <w:autoSpaceDE/>
        <w:autoSpaceDN/>
        <w:spacing w:line="360" w:lineRule="auto"/>
        <w:jc w:val="both"/>
        <w:rPr>
          <w:rFonts w:ascii="仿宋" w:hAnsi="仿宋" w:eastAsia="仿宋" w:cs="Times New Roman"/>
          <w:bCs/>
          <w:color w:val="000000"/>
          <w:kern w:val="2"/>
          <w:sz w:val="24"/>
          <w:szCs w:val="24"/>
        </w:rPr>
      </w:pPr>
    </w:p>
    <w:p>
      <w:pPr>
        <w:numPr>
          <w:ilvl w:val="0"/>
          <w:numId w:val="1"/>
        </w:num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请结合你公司收入结构、经营业绩、市场需求等，说明公司业务基本面是否发生重大变化，近期股价涨幅是否与基本面相匹配，是否与同行业上市公司变动幅度一致，并结合同行业上市公司估值、市盈率、股价变动等情况以及前述问题回复，分析你公司近期股价波动较大的原因，并就短期内股价涨幅较大充分提示风险。</w:t>
      </w:r>
    </w:p>
    <w:p>
      <w:pPr>
        <w:autoSpaceDE/>
        <w:autoSpaceDN/>
        <w:spacing w:line="360" w:lineRule="auto"/>
        <w:ind w:firstLine="482" w:firstLineChars="200"/>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公司从事于冷库和工业建筑围护系统节能隔热保温材料的研发、设计、生产和销售。20</w:t>
      </w:r>
      <w:r>
        <w:rPr>
          <w:rFonts w:ascii="仿宋" w:hAnsi="仿宋" w:eastAsia="仿宋" w:cs="Times New Roman"/>
          <w:bCs/>
          <w:color w:val="000000"/>
          <w:kern w:val="2"/>
          <w:sz w:val="24"/>
          <w:szCs w:val="24"/>
        </w:rPr>
        <w:t>20年及</w:t>
      </w:r>
      <w:r>
        <w:rPr>
          <w:rFonts w:hint="eastAsia" w:ascii="仿宋" w:hAnsi="仿宋" w:eastAsia="仿宋" w:cs="Times New Roman"/>
          <w:bCs/>
          <w:color w:val="000000"/>
          <w:kern w:val="2"/>
          <w:sz w:val="24"/>
          <w:szCs w:val="24"/>
        </w:rPr>
        <w:t>20</w:t>
      </w:r>
      <w:r>
        <w:rPr>
          <w:rFonts w:ascii="仿宋" w:hAnsi="仿宋" w:eastAsia="仿宋" w:cs="Times New Roman"/>
          <w:bCs/>
          <w:color w:val="000000"/>
          <w:kern w:val="2"/>
          <w:sz w:val="24"/>
          <w:szCs w:val="24"/>
        </w:rPr>
        <w:t>21年</w:t>
      </w:r>
      <w:r>
        <w:rPr>
          <w:rFonts w:hint="eastAsia" w:ascii="仿宋" w:hAnsi="仿宋" w:eastAsia="仿宋" w:cs="Times New Roman"/>
          <w:bCs/>
          <w:color w:val="000000"/>
          <w:kern w:val="2"/>
          <w:sz w:val="24"/>
          <w:szCs w:val="24"/>
        </w:rPr>
        <w:t>1-</w:t>
      </w:r>
      <w:r>
        <w:rPr>
          <w:rFonts w:ascii="仿宋" w:hAnsi="仿宋" w:eastAsia="仿宋" w:cs="Times New Roman"/>
          <w:bCs/>
          <w:color w:val="000000"/>
          <w:kern w:val="2"/>
          <w:sz w:val="24"/>
          <w:szCs w:val="24"/>
        </w:rPr>
        <w:t>9月公司应用于冷库和工业节能建筑等装配式建筑的主要产品</w:t>
      </w:r>
      <w:r>
        <w:rPr>
          <w:rFonts w:hint="eastAsia" w:ascii="仿宋" w:hAnsi="仿宋" w:eastAsia="仿宋" w:cs="Times New Roman"/>
          <w:bCs/>
          <w:color w:val="000000"/>
          <w:kern w:val="2"/>
          <w:sz w:val="24"/>
          <w:szCs w:val="24"/>
        </w:rPr>
        <w:t>金属面节能隔热保温夹芯板占公司收入90%以上（具体收入构成详见本回复问题1）。根据公司2021年第三季度报告，截至2021年第三季度报告期末，公司实现营业收入45</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346.82万元，较上年同期增长7.17%；归属于上市公司股东的净利润2</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143.40万元，较上年同期增长10.70%；扣除非经常性损益后的归属于上市公司股东的净利润1</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965.98万元，较上年同期增长14.57%。综上，目前公司业务基本面未发生重大变化。</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截止2</w:t>
      </w:r>
      <w:r>
        <w:rPr>
          <w:rFonts w:ascii="仿宋" w:hAnsi="仿宋" w:eastAsia="仿宋" w:cs="Times New Roman"/>
          <w:bCs/>
          <w:color w:val="000000"/>
          <w:kern w:val="2"/>
          <w:sz w:val="24"/>
          <w:szCs w:val="24"/>
        </w:rPr>
        <w:t>022年</w:t>
      </w:r>
      <w:r>
        <w:rPr>
          <w:rFonts w:hint="eastAsia" w:ascii="仿宋" w:hAnsi="仿宋" w:eastAsia="仿宋" w:cs="Times New Roman"/>
          <w:bCs/>
          <w:color w:val="000000"/>
          <w:kern w:val="2"/>
          <w:sz w:val="24"/>
          <w:szCs w:val="24"/>
        </w:rPr>
        <w:t>3月2</w:t>
      </w:r>
      <w:r>
        <w:rPr>
          <w:rFonts w:ascii="仿宋" w:hAnsi="仿宋" w:eastAsia="仿宋" w:cs="Times New Roman"/>
          <w:bCs/>
          <w:color w:val="000000"/>
          <w:kern w:val="2"/>
          <w:sz w:val="24"/>
          <w:szCs w:val="24"/>
        </w:rPr>
        <w:t>2日，</w:t>
      </w:r>
      <w:r>
        <w:rPr>
          <w:rFonts w:hint="eastAsia" w:ascii="仿宋" w:hAnsi="仿宋" w:eastAsia="仿宋" w:cs="Times New Roman"/>
          <w:bCs/>
          <w:color w:val="000000"/>
          <w:kern w:val="2"/>
          <w:sz w:val="24"/>
          <w:szCs w:val="24"/>
          <w:lang w:val="en-US" w:eastAsia="zh-CN"/>
        </w:rPr>
        <w:t>根据同花顺发布的数据，</w:t>
      </w:r>
      <w:r>
        <w:rPr>
          <w:rFonts w:ascii="仿宋" w:hAnsi="仿宋" w:eastAsia="仿宋" w:cs="Times New Roman"/>
          <w:bCs/>
          <w:color w:val="000000"/>
          <w:kern w:val="2"/>
          <w:sz w:val="24"/>
          <w:szCs w:val="24"/>
        </w:rPr>
        <w:t>公司与</w:t>
      </w:r>
      <w:r>
        <w:rPr>
          <w:rFonts w:hint="eastAsia" w:ascii="仿宋" w:hAnsi="仿宋" w:eastAsia="仿宋" w:cs="Times New Roman"/>
          <w:bCs/>
          <w:color w:val="000000"/>
          <w:kern w:val="2"/>
          <w:sz w:val="24"/>
          <w:szCs w:val="24"/>
        </w:rPr>
        <w:t>同行业市值、市盈率等指标对比如下：</w:t>
      </w:r>
    </w:p>
    <w:tbl>
      <w:tblPr>
        <w:tblStyle w:val="10"/>
        <w:tblW w:w="5000" w:type="pct"/>
        <w:jc w:val="center"/>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940"/>
        <w:gridCol w:w="1301"/>
        <w:gridCol w:w="1411"/>
        <w:gridCol w:w="1392"/>
        <w:gridCol w:w="1301"/>
        <w:gridCol w:w="2181"/>
      </w:tblGrid>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F1F1F1" w:themeFill="background1" w:themeFillShade="F2"/>
            <w:noWrap/>
            <w:vAlign w:val="center"/>
          </w:tcPr>
          <w:p>
            <w:pPr>
              <w:widowControl/>
              <w:autoSpaceDE/>
              <w:autoSpaceDN/>
              <w:jc w:val="center"/>
              <w:rPr>
                <w:b/>
                <w:color w:val="000000"/>
                <w:sz w:val="18"/>
                <w:szCs w:val="18"/>
              </w:rPr>
            </w:pPr>
            <w:r>
              <w:rPr>
                <w:rFonts w:hint="eastAsia"/>
                <w:b/>
                <w:color w:val="000000"/>
                <w:sz w:val="18"/>
                <w:szCs w:val="18"/>
              </w:rPr>
              <w:t>公司名称</w:t>
            </w:r>
          </w:p>
        </w:tc>
        <w:tc>
          <w:tcPr>
            <w:tcW w:w="763" w:type="pct"/>
            <w:shd w:val="clear" w:color="auto" w:fill="F1F1F1" w:themeFill="background1" w:themeFillShade="F2"/>
            <w:noWrap/>
            <w:vAlign w:val="center"/>
          </w:tcPr>
          <w:p>
            <w:pPr>
              <w:widowControl/>
              <w:autoSpaceDE/>
              <w:autoSpaceDN/>
              <w:jc w:val="center"/>
              <w:rPr>
                <w:rFonts w:hint="eastAsia"/>
                <w:b/>
                <w:color w:val="000000"/>
                <w:sz w:val="18"/>
                <w:szCs w:val="18"/>
              </w:rPr>
            </w:pPr>
            <w:r>
              <w:rPr>
                <w:rFonts w:hint="eastAsia"/>
                <w:b/>
                <w:color w:val="000000"/>
                <w:sz w:val="18"/>
                <w:szCs w:val="18"/>
              </w:rPr>
              <w:t>总市值（亿）</w:t>
            </w:r>
          </w:p>
        </w:tc>
        <w:tc>
          <w:tcPr>
            <w:tcW w:w="827" w:type="pct"/>
            <w:shd w:val="clear" w:color="auto" w:fill="F1F1F1" w:themeFill="background1" w:themeFillShade="F2"/>
            <w:noWrap/>
            <w:vAlign w:val="center"/>
          </w:tcPr>
          <w:p>
            <w:pPr>
              <w:widowControl/>
              <w:autoSpaceDE/>
              <w:autoSpaceDN/>
              <w:jc w:val="center"/>
              <w:rPr>
                <w:b/>
                <w:color w:val="000000"/>
                <w:sz w:val="18"/>
                <w:szCs w:val="18"/>
              </w:rPr>
            </w:pPr>
            <w:r>
              <w:rPr>
                <w:rFonts w:hint="eastAsia"/>
                <w:b/>
                <w:color w:val="000000"/>
                <w:sz w:val="18"/>
                <w:szCs w:val="18"/>
              </w:rPr>
              <w:t>静态市盈率</w:t>
            </w:r>
          </w:p>
          <w:p>
            <w:pPr>
              <w:widowControl/>
              <w:autoSpaceDE/>
              <w:autoSpaceDN/>
              <w:jc w:val="center"/>
              <w:rPr>
                <w:rFonts w:hint="eastAsia"/>
                <w:b/>
                <w:color w:val="000000"/>
                <w:sz w:val="18"/>
                <w:szCs w:val="18"/>
              </w:rPr>
            </w:pPr>
            <w:r>
              <w:rPr>
                <w:rFonts w:hint="eastAsia"/>
                <w:b/>
                <w:color w:val="000000"/>
                <w:sz w:val="18"/>
                <w:szCs w:val="18"/>
              </w:rPr>
              <w:t>（倍）</w:t>
            </w:r>
          </w:p>
        </w:tc>
        <w:tc>
          <w:tcPr>
            <w:tcW w:w="816" w:type="pct"/>
            <w:shd w:val="clear" w:color="auto" w:fill="F1F1F1" w:themeFill="background1" w:themeFillShade="F2"/>
          </w:tcPr>
          <w:p>
            <w:pPr>
              <w:widowControl/>
              <w:autoSpaceDE/>
              <w:autoSpaceDN/>
              <w:jc w:val="center"/>
              <w:rPr>
                <w:rFonts w:hint="eastAsia"/>
                <w:b/>
                <w:color w:val="000000"/>
                <w:sz w:val="18"/>
                <w:szCs w:val="18"/>
              </w:rPr>
            </w:pPr>
            <w:r>
              <w:rPr>
                <w:rFonts w:hint="eastAsia"/>
                <w:b/>
                <w:color w:val="000000"/>
                <w:sz w:val="18"/>
                <w:szCs w:val="18"/>
              </w:rPr>
              <w:t>动态市盈率（倍）</w:t>
            </w:r>
          </w:p>
        </w:tc>
        <w:tc>
          <w:tcPr>
            <w:tcW w:w="763" w:type="pct"/>
            <w:shd w:val="clear" w:color="auto" w:fill="F1F1F1" w:themeFill="background1" w:themeFillShade="F2"/>
            <w:noWrap/>
            <w:vAlign w:val="center"/>
          </w:tcPr>
          <w:p>
            <w:pPr>
              <w:widowControl/>
              <w:autoSpaceDE/>
              <w:autoSpaceDN/>
              <w:jc w:val="center"/>
              <w:rPr>
                <w:rFonts w:hint="eastAsia"/>
                <w:b/>
                <w:color w:val="000000"/>
                <w:sz w:val="18"/>
                <w:szCs w:val="18"/>
              </w:rPr>
            </w:pPr>
            <w:r>
              <w:rPr>
                <w:rFonts w:hint="eastAsia"/>
                <w:b/>
                <w:color w:val="000000"/>
                <w:sz w:val="18"/>
                <w:szCs w:val="18"/>
              </w:rPr>
              <w:t>市净率（倍）</w:t>
            </w:r>
          </w:p>
        </w:tc>
        <w:tc>
          <w:tcPr>
            <w:tcW w:w="1279" w:type="pct"/>
            <w:shd w:val="clear" w:color="auto" w:fill="F1F1F1" w:themeFill="background1" w:themeFillShade="F2"/>
            <w:noWrap/>
            <w:vAlign w:val="center"/>
          </w:tcPr>
          <w:p>
            <w:pPr>
              <w:widowControl/>
              <w:autoSpaceDE/>
              <w:autoSpaceDN/>
              <w:jc w:val="center"/>
              <w:rPr>
                <w:rFonts w:hint="eastAsia"/>
                <w:b/>
                <w:color w:val="000000"/>
                <w:sz w:val="18"/>
                <w:szCs w:val="18"/>
              </w:rPr>
            </w:pPr>
            <w:r>
              <w:rPr>
                <w:rFonts w:hint="eastAsia"/>
                <w:b/>
                <w:color w:val="000000"/>
                <w:sz w:val="18"/>
                <w:szCs w:val="18"/>
              </w:rPr>
              <w:t>最近一个月累计涨跌幅</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雪人股份</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94.8</w:t>
            </w:r>
            <w:r>
              <w:rPr>
                <w:color w:val="000000"/>
                <w:sz w:val="18"/>
                <w:szCs w:val="18"/>
              </w:rPr>
              <w:t>0</w:t>
            </w:r>
          </w:p>
        </w:tc>
        <w:tc>
          <w:tcPr>
            <w:tcW w:w="827"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亏损</w:t>
            </w:r>
          </w:p>
        </w:tc>
        <w:tc>
          <w:tcPr>
            <w:tcW w:w="816" w:type="pct"/>
            <w:vAlign w:val="center"/>
          </w:tcPr>
          <w:p>
            <w:pPr>
              <w:widowControl/>
              <w:autoSpaceDE/>
              <w:autoSpaceDN/>
              <w:jc w:val="center"/>
              <w:rPr>
                <w:rFonts w:hint="eastAsia"/>
                <w:color w:val="000000"/>
                <w:sz w:val="18"/>
                <w:szCs w:val="18"/>
              </w:rPr>
            </w:pPr>
            <w:r>
              <w:rPr>
                <w:rFonts w:hint="eastAsia"/>
                <w:color w:val="000000"/>
                <w:sz w:val="18"/>
                <w:szCs w:val="18"/>
              </w:rPr>
              <w:t>亏损</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3.45</w:t>
            </w:r>
          </w:p>
        </w:tc>
        <w:tc>
          <w:tcPr>
            <w:tcW w:w="1279"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29.02%</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冰轮环境</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92.41</w:t>
            </w:r>
          </w:p>
        </w:tc>
        <w:tc>
          <w:tcPr>
            <w:tcW w:w="827"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41.53</w:t>
            </w:r>
          </w:p>
        </w:tc>
        <w:tc>
          <w:tcPr>
            <w:tcW w:w="816" w:type="pct"/>
            <w:vAlign w:val="center"/>
          </w:tcPr>
          <w:p>
            <w:pPr>
              <w:widowControl/>
              <w:autoSpaceDE/>
              <w:autoSpaceDN/>
              <w:jc w:val="center"/>
              <w:rPr>
                <w:rFonts w:hint="eastAsia"/>
                <w:color w:val="000000"/>
                <w:sz w:val="18"/>
                <w:szCs w:val="18"/>
              </w:rPr>
            </w:pPr>
            <w:r>
              <w:rPr>
                <w:rFonts w:hint="eastAsia"/>
                <w:color w:val="000000"/>
                <w:sz w:val="18"/>
                <w:szCs w:val="18"/>
              </w:rPr>
              <w:t>2</w:t>
            </w:r>
            <w:r>
              <w:rPr>
                <w:color w:val="000000"/>
                <w:sz w:val="18"/>
                <w:szCs w:val="18"/>
              </w:rPr>
              <w:t>9.84</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2.02</w:t>
            </w:r>
          </w:p>
        </w:tc>
        <w:tc>
          <w:tcPr>
            <w:tcW w:w="1279"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-3.43%</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冰山冷热</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40.39</w:t>
            </w:r>
          </w:p>
        </w:tc>
        <w:tc>
          <w:tcPr>
            <w:tcW w:w="827"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189.26</w:t>
            </w:r>
          </w:p>
        </w:tc>
        <w:tc>
          <w:tcPr>
            <w:tcW w:w="816" w:type="pct"/>
            <w:vAlign w:val="center"/>
          </w:tcPr>
          <w:p>
            <w:pPr>
              <w:widowControl/>
              <w:autoSpaceDE/>
              <w:autoSpaceDN/>
              <w:jc w:val="center"/>
              <w:rPr>
                <w:rFonts w:hint="eastAsia"/>
                <w:color w:val="000000"/>
                <w:sz w:val="18"/>
                <w:szCs w:val="18"/>
              </w:rPr>
            </w:pPr>
            <w:r>
              <w:rPr>
                <w:rFonts w:hint="eastAsia"/>
                <w:color w:val="000000"/>
                <w:sz w:val="18"/>
                <w:szCs w:val="18"/>
              </w:rPr>
              <w:t>亏损</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1.22</w:t>
            </w:r>
          </w:p>
        </w:tc>
        <w:tc>
          <w:tcPr>
            <w:tcW w:w="1279"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0.63%</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四方科技</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34.53</w:t>
            </w:r>
          </w:p>
        </w:tc>
        <w:tc>
          <w:tcPr>
            <w:tcW w:w="827" w:type="pct"/>
            <w:shd w:val="clear" w:color="auto" w:fill="auto"/>
            <w:noWrap/>
            <w:vAlign w:val="center"/>
          </w:tcPr>
          <w:p>
            <w:pPr>
              <w:widowControl/>
              <w:autoSpaceDE/>
              <w:autoSpaceDN/>
              <w:jc w:val="center"/>
              <w:rPr>
                <w:rFonts w:hint="default" w:eastAsia="宋体"/>
                <w:color w:val="000000"/>
                <w:sz w:val="18"/>
                <w:szCs w:val="18"/>
                <w:lang w:val="en-US" w:eastAsia="zh-CN"/>
              </w:rPr>
            </w:pPr>
            <w:r>
              <w:rPr>
                <w:rFonts w:hint="eastAsia"/>
                <w:color w:val="000000"/>
                <w:sz w:val="18"/>
                <w:szCs w:val="18"/>
                <w:lang w:val="en-US" w:eastAsia="zh-CN"/>
              </w:rPr>
              <w:t>19.99</w:t>
            </w:r>
          </w:p>
        </w:tc>
        <w:tc>
          <w:tcPr>
            <w:tcW w:w="816" w:type="pct"/>
            <w:vAlign w:val="center"/>
          </w:tcPr>
          <w:p>
            <w:pPr>
              <w:widowControl/>
              <w:autoSpaceDE/>
              <w:autoSpaceDN/>
              <w:jc w:val="center"/>
              <w:rPr>
                <w:rFonts w:hint="eastAsia"/>
                <w:color w:val="000000"/>
                <w:sz w:val="18"/>
                <w:szCs w:val="18"/>
                <w:highlight w:val="none"/>
              </w:rPr>
            </w:pPr>
            <w:r>
              <w:rPr>
                <w:rFonts w:hint="eastAsia"/>
                <w:color w:val="000000"/>
                <w:sz w:val="18"/>
                <w:szCs w:val="18"/>
                <w:highlight w:val="none"/>
              </w:rPr>
              <w:t>1</w:t>
            </w:r>
            <w:r>
              <w:rPr>
                <w:color w:val="000000"/>
                <w:sz w:val="18"/>
                <w:szCs w:val="18"/>
                <w:highlight w:val="none"/>
              </w:rPr>
              <w:t>9.99</w:t>
            </w:r>
          </w:p>
        </w:tc>
        <w:tc>
          <w:tcPr>
            <w:tcW w:w="763" w:type="pct"/>
            <w:shd w:val="clear" w:color="auto" w:fill="auto"/>
            <w:noWrap/>
            <w:vAlign w:val="center"/>
          </w:tcPr>
          <w:p>
            <w:pPr>
              <w:widowControl/>
              <w:autoSpaceDE/>
              <w:autoSpaceDN/>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1.77</w:t>
            </w:r>
          </w:p>
        </w:tc>
        <w:tc>
          <w:tcPr>
            <w:tcW w:w="1279"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-8.97%</w:t>
            </w:r>
          </w:p>
        </w:tc>
      </w:tr>
      <w:tr>
        <w:tblPrEx>
          <w:tblBorders>
            <w:top w:val="thinThickSmallGap" w:color="4F81BD" w:themeColor="accent1" w:sz="18" w:space="0"/>
            <w:left w:val="single" w:color="4F81BD" w:themeColor="accent1" w:sz="4" w:space="0"/>
            <w:bottom w:val="thinThickSmallGap" w:color="4F81BD" w:themeColor="accent1" w:sz="18"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54" w:hRule="atLeast"/>
          <w:jc w:val="center"/>
        </w:trPr>
        <w:tc>
          <w:tcPr>
            <w:tcW w:w="551"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晶雪节能</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32.75</w:t>
            </w:r>
          </w:p>
        </w:tc>
        <w:tc>
          <w:tcPr>
            <w:tcW w:w="827"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54.39</w:t>
            </w:r>
          </w:p>
        </w:tc>
        <w:tc>
          <w:tcPr>
            <w:tcW w:w="816" w:type="pct"/>
            <w:vAlign w:val="center"/>
          </w:tcPr>
          <w:p>
            <w:pPr>
              <w:widowControl/>
              <w:autoSpaceDE/>
              <w:autoSpaceDN/>
              <w:jc w:val="center"/>
              <w:rPr>
                <w:rFonts w:hint="default" w:eastAsia="宋体"/>
                <w:color w:val="000000"/>
                <w:sz w:val="18"/>
                <w:szCs w:val="18"/>
                <w:lang w:val="en-US" w:eastAsia="zh-CN"/>
              </w:rPr>
            </w:pPr>
            <w:r>
              <w:rPr>
                <w:rFonts w:hint="eastAsia"/>
                <w:color w:val="000000"/>
                <w:sz w:val="18"/>
                <w:szCs w:val="18"/>
              </w:rPr>
              <w:t>1</w:t>
            </w:r>
            <w:r>
              <w:rPr>
                <w:color w:val="000000"/>
                <w:sz w:val="18"/>
                <w:szCs w:val="18"/>
              </w:rPr>
              <w:t>14.</w:t>
            </w:r>
            <w:r>
              <w:rPr>
                <w:rFonts w:hint="eastAsia"/>
                <w:color w:val="000000"/>
                <w:sz w:val="18"/>
                <w:szCs w:val="18"/>
                <w:lang w:val="en-US" w:eastAsia="zh-CN"/>
              </w:rPr>
              <w:t>58</w:t>
            </w:r>
          </w:p>
        </w:tc>
        <w:tc>
          <w:tcPr>
            <w:tcW w:w="763"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4.44</w:t>
            </w:r>
          </w:p>
        </w:tc>
        <w:tc>
          <w:tcPr>
            <w:tcW w:w="1279" w:type="pct"/>
            <w:shd w:val="clear" w:color="auto" w:fill="auto"/>
            <w:noWrap/>
            <w:vAlign w:val="center"/>
          </w:tcPr>
          <w:p>
            <w:pPr>
              <w:widowControl/>
              <w:autoSpaceDE/>
              <w:autoSpaceDN/>
              <w:jc w:val="center"/>
              <w:rPr>
                <w:rFonts w:hint="eastAsia"/>
                <w:color w:val="000000"/>
                <w:sz w:val="18"/>
                <w:szCs w:val="18"/>
              </w:rPr>
            </w:pPr>
            <w:r>
              <w:rPr>
                <w:rFonts w:hint="eastAsia"/>
                <w:color w:val="000000"/>
                <w:sz w:val="18"/>
                <w:szCs w:val="18"/>
              </w:rPr>
              <w:t>46.83%</w:t>
            </w:r>
          </w:p>
        </w:tc>
      </w:tr>
    </w:tbl>
    <w:p>
      <w:pPr>
        <w:autoSpaceDE/>
        <w:autoSpaceDN/>
        <w:spacing w:line="360" w:lineRule="auto"/>
        <w:ind w:firstLine="480" w:firstLineChars="200"/>
        <w:jc w:val="both"/>
        <w:rPr>
          <w:rFonts w:ascii="仿宋" w:hAnsi="仿宋" w:eastAsia="仿宋" w:cs="Times New Roman"/>
          <w:b/>
          <w:bCs/>
          <w:color w:val="000000"/>
          <w:kern w:val="2"/>
          <w:sz w:val="24"/>
          <w:szCs w:val="24"/>
        </w:rPr>
      </w:pPr>
      <w:r>
        <w:rPr>
          <w:rFonts w:hint="eastAsia" w:ascii="仿宋" w:hAnsi="仿宋" w:eastAsia="仿宋" w:cs="Times New Roman"/>
          <w:bCs/>
          <w:color w:val="000000"/>
          <w:kern w:val="2"/>
          <w:sz w:val="24"/>
          <w:szCs w:val="24"/>
        </w:rPr>
        <w:t>公司业务基本面未发生重大变化的情况下，近日公司股票短期涨幅显著高于同行业上市公司，且公司市盈率、市净率等指标均处于相对高位，</w:t>
      </w:r>
      <w:r>
        <w:rPr>
          <w:rFonts w:hint="eastAsia" w:ascii="仿宋" w:hAnsi="仿宋" w:eastAsia="仿宋" w:cs="Times New Roman"/>
          <w:b/>
          <w:bCs/>
          <w:color w:val="000000"/>
          <w:kern w:val="2"/>
          <w:sz w:val="24"/>
          <w:szCs w:val="24"/>
        </w:rPr>
        <w:t>公司特别提醒广大投资者，注意投资风险，理性决策，审慎投资。</w:t>
      </w:r>
    </w:p>
    <w:p>
      <w:pPr>
        <w:autoSpaceDE/>
        <w:autoSpaceDN/>
        <w:spacing w:line="360" w:lineRule="auto"/>
        <w:ind w:firstLine="480" w:firstLineChars="200"/>
        <w:jc w:val="both"/>
        <w:rPr>
          <w:rFonts w:ascii="仿宋" w:hAnsi="仿宋" w:eastAsia="仿宋" w:cs="Times New Roman"/>
          <w:bCs/>
          <w:color w:val="000000"/>
          <w:kern w:val="2"/>
          <w:sz w:val="24"/>
          <w:szCs w:val="24"/>
        </w:rPr>
      </w:pPr>
    </w:p>
    <w:p>
      <w:pPr>
        <w:numPr>
          <w:ilvl w:val="0"/>
          <w:numId w:val="1"/>
        </w:num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请说明你公司最近3个月接受媒体采访、机构和投资者调研、回复投资者咨询、自媒体宣传等情况，核实说明是否存在违反信息披露公平性原则或误导投资者的情形，是否存在迎合市场热点炒作公司股价、配合股东减持等情形。</w:t>
      </w:r>
    </w:p>
    <w:p>
      <w:pPr>
        <w:autoSpaceDE/>
        <w:autoSpaceDN/>
        <w:spacing w:line="360" w:lineRule="auto"/>
        <w:ind w:firstLine="482" w:firstLineChars="200"/>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autoSpaceDE/>
        <w:autoSpaceDN/>
        <w:spacing w:line="360" w:lineRule="auto"/>
        <w:ind w:firstLine="480" w:firstLineChars="200"/>
        <w:jc w:val="both"/>
        <w:rPr>
          <w:rFonts w:ascii="仿宋" w:hAnsi="仿宋" w:eastAsia="仿宋" w:cs="Times New Roman"/>
          <w:bCs/>
          <w:color w:val="000000"/>
          <w:kern w:val="2"/>
          <w:sz w:val="24"/>
          <w:szCs w:val="24"/>
          <w:lang w:eastAsia="zh-Hans"/>
        </w:rPr>
      </w:pPr>
      <w:r>
        <w:rPr>
          <w:rFonts w:hint="eastAsia" w:ascii="仿宋" w:hAnsi="仿宋" w:eastAsia="仿宋" w:cs="Times New Roman"/>
          <w:bCs/>
          <w:color w:val="000000"/>
          <w:kern w:val="2"/>
          <w:sz w:val="24"/>
          <w:szCs w:val="24"/>
        </w:rPr>
        <w:t>公司最近3个月内曾参加中泰证券</w:t>
      </w:r>
      <w:r>
        <w:rPr>
          <w:rFonts w:hint="eastAsia" w:ascii="仿宋" w:hAnsi="仿宋" w:eastAsia="仿宋" w:cs="Times New Roman"/>
          <w:bCs/>
          <w:color w:val="000000"/>
          <w:kern w:val="2"/>
          <w:sz w:val="24"/>
          <w:szCs w:val="24"/>
          <w:lang w:val="en-US" w:eastAsia="zh-CN"/>
        </w:rPr>
        <w:t>等</w:t>
      </w:r>
      <w:r>
        <w:rPr>
          <w:rFonts w:hint="eastAsia" w:ascii="仿宋" w:hAnsi="仿宋" w:eastAsia="仿宋" w:cs="Times New Roman"/>
          <w:bCs/>
          <w:color w:val="000000"/>
          <w:kern w:val="2"/>
          <w:sz w:val="24"/>
          <w:szCs w:val="24"/>
        </w:rPr>
        <w:t>的电话交流会，相关情况已于2022年2月2</w:t>
      </w:r>
      <w:r>
        <w:rPr>
          <w:rFonts w:hint="eastAsia" w:ascii="仿宋" w:hAnsi="仿宋" w:eastAsia="仿宋" w:cs="Times New Roman"/>
          <w:bCs/>
          <w:color w:val="000000"/>
          <w:kern w:val="2"/>
          <w:sz w:val="24"/>
          <w:szCs w:val="24"/>
          <w:lang w:val="en-US" w:eastAsia="zh-CN"/>
        </w:rPr>
        <w:t>3</w:t>
      </w:r>
      <w:r>
        <w:rPr>
          <w:rFonts w:hint="eastAsia" w:ascii="仿宋" w:hAnsi="仿宋" w:eastAsia="仿宋" w:cs="Times New Roman"/>
          <w:bCs/>
          <w:color w:val="000000"/>
          <w:kern w:val="2"/>
          <w:sz w:val="24"/>
          <w:szCs w:val="24"/>
        </w:rPr>
        <w:t>日在互动易进行披露。公司接受媒体采访、机构和投资者调研、回复投资者咨询、自媒体宣传等情况，均严格遵循公开、公平、公正原则，客观、真实、准确、完整地介绍和反映公司的实际情况，不存在违反信息披露公平性原则或误导投资者的情形，也不存在迎合市场热点炒作公司股价、配合股东减持等情形（公司持股</w:t>
      </w:r>
      <w:r>
        <w:rPr>
          <w:rFonts w:ascii="仿宋" w:hAnsi="仿宋" w:eastAsia="仿宋" w:cs="Times New Roman"/>
          <w:bCs/>
          <w:color w:val="000000"/>
          <w:kern w:val="2"/>
          <w:sz w:val="24"/>
          <w:szCs w:val="24"/>
        </w:rPr>
        <w:t>5%以上股东目前均处于限售期，尚未解禁流通）</w:t>
      </w:r>
      <w:r>
        <w:rPr>
          <w:rFonts w:hint="eastAsia" w:ascii="仿宋" w:hAnsi="仿宋" w:eastAsia="仿宋" w:cs="Times New Roman"/>
          <w:bCs/>
          <w:color w:val="000000"/>
          <w:kern w:val="2"/>
          <w:sz w:val="24"/>
          <w:szCs w:val="24"/>
        </w:rPr>
        <w:t>。</w:t>
      </w:r>
    </w:p>
    <w:p>
      <w:pPr>
        <w:autoSpaceDE/>
        <w:autoSpaceDN/>
        <w:spacing w:line="360" w:lineRule="auto"/>
        <w:jc w:val="both"/>
        <w:rPr>
          <w:rFonts w:ascii="仿宋" w:hAnsi="仿宋" w:eastAsia="仿宋" w:cs="Times New Roman"/>
          <w:b/>
          <w:color w:val="000000"/>
          <w:kern w:val="2"/>
          <w:sz w:val="24"/>
          <w:szCs w:val="24"/>
        </w:rPr>
      </w:pPr>
    </w:p>
    <w:p>
      <w:pPr>
        <w:numPr>
          <w:ilvl w:val="0"/>
          <w:numId w:val="1"/>
        </w:num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请说明你公司董事、监事、高级管理人员及其直系亲属、持股5%以上股东近3个月买卖你公司股票的情况，未来3个月内是否存在减持计划以及减持计划具体内容。</w:t>
      </w:r>
    </w:p>
    <w:p>
      <w:pPr>
        <w:autoSpaceDE/>
        <w:autoSpaceDN/>
        <w:spacing w:line="360" w:lineRule="auto"/>
        <w:ind w:firstLine="482" w:firstLineChars="200"/>
        <w:jc w:val="both"/>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（1）近3个月买卖公司股票的情况</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答：经问询自查公司实际控制人、持股5%以上股东、董事、监事、高级管理人员的股份买卖情况，公司董事、监事、高级管理人员及其直系亲属、公司持股5%以上股东常州晶雪投资管理有限公司、冰山冷热（S</w:t>
      </w:r>
      <w:r>
        <w:rPr>
          <w:rFonts w:ascii="仿宋" w:hAnsi="仿宋" w:eastAsia="仿宋" w:cs="Times New Roman"/>
          <w:bCs/>
          <w:color w:val="000000"/>
          <w:kern w:val="2"/>
          <w:sz w:val="24"/>
          <w:szCs w:val="24"/>
        </w:rPr>
        <w:t>Z.000530</w:t>
      </w:r>
      <w:r>
        <w:rPr>
          <w:rFonts w:hint="eastAsia" w:ascii="仿宋" w:hAnsi="仿宋" w:eastAsia="仿宋" w:cs="Times New Roman"/>
          <w:bCs/>
          <w:color w:val="000000"/>
          <w:kern w:val="2"/>
          <w:sz w:val="24"/>
          <w:szCs w:val="24"/>
        </w:rPr>
        <w:t>）</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常润实业公司以及实控人控制的员工持股平台常州市同德投资管理中心（持股4.</w:t>
      </w:r>
      <w:r>
        <w:rPr>
          <w:rFonts w:ascii="仿宋" w:hAnsi="仿宋" w:eastAsia="仿宋" w:cs="Times New Roman"/>
          <w:bCs/>
          <w:color w:val="000000"/>
          <w:kern w:val="2"/>
          <w:sz w:val="24"/>
          <w:szCs w:val="24"/>
        </w:rPr>
        <w:t>52%）</w:t>
      </w:r>
      <w:r>
        <w:rPr>
          <w:rFonts w:hint="eastAsia" w:ascii="仿宋" w:hAnsi="仿宋" w:eastAsia="仿宋" w:cs="Times New Roman"/>
          <w:bCs/>
          <w:color w:val="000000"/>
          <w:kern w:val="2"/>
          <w:sz w:val="24"/>
          <w:szCs w:val="24"/>
        </w:rPr>
        <w:t>近3个月内均不存在买卖公司股票的行为。</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（2）未来3个月减持计划</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答：经问询，截至目前，公司董事、监事、高级管理人员及其直系亲属未来3个月内无减持计划。公司持股5%以上股东常州晶雪投资管理有限公司、冰山冷热（S</w:t>
      </w:r>
      <w:r>
        <w:rPr>
          <w:rFonts w:ascii="仿宋" w:hAnsi="仿宋" w:eastAsia="仿宋" w:cs="Times New Roman"/>
          <w:bCs/>
          <w:color w:val="000000"/>
          <w:kern w:val="2"/>
          <w:sz w:val="24"/>
          <w:szCs w:val="24"/>
        </w:rPr>
        <w:t>Z.000530</w:t>
      </w:r>
      <w:r>
        <w:rPr>
          <w:rFonts w:hint="eastAsia" w:ascii="仿宋" w:hAnsi="仿宋" w:eastAsia="仿宋" w:cs="Times New Roman"/>
          <w:bCs/>
          <w:color w:val="000000"/>
          <w:kern w:val="2"/>
          <w:sz w:val="24"/>
          <w:szCs w:val="24"/>
        </w:rPr>
        <w:t>）</w:t>
      </w:r>
      <w:r>
        <w:rPr>
          <w:rFonts w:ascii="仿宋" w:hAnsi="仿宋" w:eastAsia="仿宋" w:cs="Times New Roman"/>
          <w:bCs/>
          <w:color w:val="000000"/>
          <w:kern w:val="2"/>
          <w:sz w:val="24"/>
          <w:szCs w:val="24"/>
        </w:rPr>
        <w:t>、</w:t>
      </w:r>
      <w:r>
        <w:rPr>
          <w:rFonts w:hint="eastAsia" w:ascii="仿宋" w:hAnsi="仿宋" w:eastAsia="仿宋" w:cs="Times New Roman"/>
          <w:bCs/>
          <w:color w:val="000000"/>
          <w:kern w:val="2"/>
          <w:sz w:val="24"/>
          <w:szCs w:val="24"/>
        </w:rPr>
        <w:t>常润实业公司以及实控人控制的员工持股平台常州市同德投资管理中心（持股4.</w:t>
      </w:r>
      <w:r>
        <w:rPr>
          <w:rFonts w:ascii="仿宋" w:hAnsi="仿宋" w:eastAsia="仿宋" w:cs="Times New Roman"/>
          <w:bCs/>
          <w:color w:val="000000"/>
          <w:kern w:val="2"/>
          <w:sz w:val="24"/>
          <w:szCs w:val="24"/>
        </w:rPr>
        <w:t>52%）均处于限售期，尚未解禁（其中冰山冷热</w:t>
      </w:r>
      <w:r>
        <w:rPr>
          <w:rFonts w:hint="eastAsia" w:ascii="仿宋" w:hAnsi="仿宋" w:eastAsia="仿宋" w:cs="Times New Roman"/>
          <w:bCs/>
          <w:color w:val="000000"/>
          <w:kern w:val="2"/>
          <w:sz w:val="24"/>
          <w:szCs w:val="24"/>
        </w:rPr>
        <w:t>（S</w:t>
      </w:r>
      <w:r>
        <w:rPr>
          <w:rFonts w:ascii="仿宋" w:hAnsi="仿宋" w:eastAsia="仿宋" w:cs="Times New Roman"/>
          <w:bCs/>
          <w:color w:val="000000"/>
          <w:kern w:val="2"/>
          <w:sz w:val="24"/>
          <w:szCs w:val="24"/>
        </w:rPr>
        <w:t>Z.000530</w:t>
      </w:r>
      <w:r>
        <w:rPr>
          <w:rFonts w:hint="eastAsia" w:ascii="仿宋" w:hAnsi="仿宋" w:eastAsia="仿宋" w:cs="Times New Roman"/>
          <w:bCs/>
          <w:color w:val="000000"/>
          <w:kern w:val="2"/>
          <w:sz w:val="24"/>
          <w:szCs w:val="24"/>
        </w:rPr>
        <w:t>）</w:t>
      </w:r>
      <w:r>
        <w:rPr>
          <w:rFonts w:ascii="仿宋" w:hAnsi="仿宋" w:eastAsia="仿宋" w:cs="Times New Roman"/>
          <w:bCs/>
          <w:color w:val="000000"/>
          <w:kern w:val="2"/>
          <w:sz w:val="24"/>
          <w:szCs w:val="24"/>
        </w:rPr>
        <w:t>限售至</w:t>
      </w:r>
      <w:r>
        <w:rPr>
          <w:rFonts w:hint="eastAsia" w:ascii="仿宋" w:hAnsi="仿宋" w:eastAsia="仿宋" w:cs="Times New Roman"/>
          <w:bCs/>
          <w:color w:val="000000"/>
          <w:kern w:val="2"/>
          <w:sz w:val="24"/>
          <w:szCs w:val="24"/>
        </w:rPr>
        <w:t>2</w:t>
      </w:r>
      <w:r>
        <w:rPr>
          <w:rFonts w:ascii="仿宋" w:hAnsi="仿宋" w:eastAsia="仿宋" w:cs="Times New Roman"/>
          <w:bCs/>
          <w:color w:val="000000"/>
          <w:kern w:val="2"/>
          <w:sz w:val="24"/>
          <w:szCs w:val="24"/>
        </w:rPr>
        <w:t>022年</w:t>
      </w:r>
      <w:r>
        <w:rPr>
          <w:rFonts w:hint="eastAsia" w:ascii="仿宋" w:hAnsi="仿宋" w:eastAsia="仿宋" w:cs="Times New Roman"/>
          <w:bCs/>
          <w:color w:val="000000"/>
          <w:kern w:val="2"/>
          <w:sz w:val="24"/>
          <w:szCs w:val="24"/>
        </w:rPr>
        <w:t>6月1</w:t>
      </w:r>
      <w:r>
        <w:rPr>
          <w:rFonts w:hint="default" w:ascii="仿宋" w:hAnsi="仿宋" w:eastAsia="仿宋" w:cs="Times New Roman"/>
          <w:bCs/>
          <w:color w:val="000000"/>
          <w:kern w:val="2"/>
          <w:sz w:val="24"/>
          <w:szCs w:val="24"/>
        </w:rPr>
        <w:t>7</w:t>
      </w:r>
      <w:r>
        <w:rPr>
          <w:rFonts w:ascii="仿宋" w:hAnsi="仿宋" w:eastAsia="仿宋" w:cs="Times New Roman"/>
          <w:bCs/>
          <w:color w:val="000000"/>
          <w:kern w:val="2"/>
          <w:sz w:val="24"/>
          <w:szCs w:val="24"/>
        </w:rPr>
        <w:t>日，其余股东限售至</w:t>
      </w:r>
      <w:r>
        <w:rPr>
          <w:rFonts w:hint="eastAsia" w:ascii="仿宋" w:hAnsi="仿宋" w:eastAsia="仿宋" w:cs="Times New Roman"/>
          <w:bCs/>
          <w:color w:val="000000"/>
          <w:kern w:val="2"/>
          <w:sz w:val="24"/>
          <w:szCs w:val="24"/>
        </w:rPr>
        <w:t>2</w:t>
      </w:r>
      <w:r>
        <w:rPr>
          <w:rFonts w:ascii="仿宋" w:hAnsi="仿宋" w:eastAsia="仿宋" w:cs="Times New Roman"/>
          <w:bCs/>
          <w:color w:val="000000"/>
          <w:kern w:val="2"/>
          <w:sz w:val="24"/>
          <w:szCs w:val="24"/>
        </w:rPr>
        <w:t>024年</w:t>
      </w:r>
      <w:r>
        <w:rPr>
          <w:rFonts w:hint="eastAsia" w:ascii="仿宋" w:hAnsi="仿宋" w:eastAsia="仿宋" w:cs="Times New Roman"/>
          <w:bCs/>
          <w:color w:val="000000"/>
          <w:kern w:val="2"/>
          <w:sz w:val="24"/>
          <w:szCs w:val="24"/>
        </w:rPr>
        <w:t>6月1</w:t>
      </w:r>
      <w:r>
        <w:rPr>
          <w:rFonts w:hint="default" w:ascii="仿宋" w:hAnsi="仿宋" w:eastAsia="仿宋" w:cs="Times New Roman"/>
          <w:bCs/>
          <w:color w:val="000000"/>
          <w:kern w:val="2"/>
          <w:sz w:val="24"/>
          <w:szCs w:val="24"/>
        </w:rPr>
        <w:t>7</w:t>
      </w:r>
      <w:r>
        <w:rPr>
          <w:rFonts w:ascii="仿宋" w:hAnsi="仿宋" w:eastAsia="仿宋" w:cs="Times New Roman"/>
          <w:bCs/>
          <w:color w:val="000000"/>
          <w:kern w:val="2"/>
          <w:sz w:val="24"/>
          <w:szCs w:val="24"/>
        </w:rPr>
        <w:t>日）。上述股东</w:t>
      </w:r>
      <w:r>
        <w:rPr>
          <w:rFonts w:hint="eastAsia" w:ascii="仿宋" w:hAnsi="仿宋" w:eastAsia="仿宋" w:cs="Times New Roman"/>
          <w:bCs/>
          <w:color w:val="000000"/>
          <w:kern w:val="2"/>
          <w:sz w:val="24"/>
          <w:szCs w:val="24"/>
        </w:rPr>
        <w:t>未来3个月无减持计划。</w:t>
      </w:r>
    </w:p>
    <w:p>
      <w:pPr>
        <w:autoSpaceDE/>
        <w:autoSpaceDN/>
        <w:spacing w:line="360" w:lineRule="auto"/>
        <w:jc w:val="both"/>
        <w:rPr>
          <w:rFonts w:ascii="仿宋" w:hAnsi="仿宋" w:eastAsia="仿宋" w:cs="Times New Roman"/>
          <w:bCs/>
          <w:color w:val="000000"/>
          <w:kern w:val="2"/>
          <w:sz w:val="24"/>
          <w:szCs w:val="24"/>
        </w:rPr>
      </w:pPr>
    </w:p>
    <w:p>
      <w:pPr>
        <w:numPr>
          <w:ilvl w:val="0"/>
          <w:numId w:val="1"/>
        </w:num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你公司认为应予以说明的其他事项。</w:t>
      </w:r>
    </w:p>
    <w:p>
      <w:pPr>
        <w:topLinePunct/>
        <w:autoSpaceDE/>
        <w:autoSpaceDN/>
        <w:ind w:firstLine="482" w:firstLineChars="200"/>
        <w:jc w:val="both"/>
        <w:outlineLvl w:val="0"/>
        <w:rPr>
          <w:rFonts w:ascii="仿宋" w:hAnsi="仿宋" w:eastAsia="仿宋" w:cs="Times New Roman"/>
          <w:b/>
          <w:color w:val="000000"/>
          <w:kern w:val="2"/>
          <w:sz w:val="24"/>
          <w:szCs w:val="24"/>
          <w:lang w:eastAsia="zh-Hans"/>
        </w:rPr>
      </w:pPr>
      <w:r>
        <w:rPr>
          <w:rFonts w:hint="eastAsia" w:ascii="仿宋" w:hAnsi="仿宋" w:eastAsia="仿宋" w:cs="Times New Roman"/>
          <w:b/>
          <w:color w:val="000000"/>
          <w:kern w:val="2"/>
          <w:sz w:val="24"/>
          <w:szCs w:val="24"/>
          <w:lang w:eastAsia="zh-Hans"/>
        </w:rPr>
        <w:t>公司回复</w:t>
      </w:r>
      <w:r>
        <w:rPr>
          <w:rFonts w:ascii="仿宋" w:hAnsi="仿宋" w:eastAsia="仿宋" w:cs="Times New Roman"/>
          <w:b/>
          <w:color w:val="000000"/>
          <w:kern w:val="2"/>
          <w:sz w:val="24"/>
          <w:szCs w:val="24"/>
          <w:lang w:eastAsia="zh-Hans"/>
        </w:rPr>
        <w:t>：</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 xml:space="preserve">公司严格按照国家法律法规以及《深圳证券交易所创业板股票上市规则》等相关规定，认真和及时地履行信息披露义务。公司董事会全体成员保证信息披露内容真实、准确、完整，没有虚假记载、误导性陈述或重大遗漏，除上述回复事项外，公司不存在其他需要说明的事项。 </w:t>
      </w: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《中国证券报》</w:t>
      </w:r>
      <w:r>
        <w:rPr>
          <w:rFonts w:hint="eastAsia" w:ascii="仿宋" w:hAnsi="仿宋" w:eastAsia="仿宋" w:cs="Times New Roman"/>
          <w:bCs/>
          <w:color w:val="000000"/>
          <w:kern w:val="2"/>
          <w:sz w:val="24"/>
          <w:szCs w:val="24"/>
          <w:lang w:eastAsia="zh-CN"/>
        </w:rPr>
        <w:t>、</w:t>
      </w:r>
      <w:r>
        <w:rPr>
          <w:rFonts w:hint="eastAsia" w:ascii="仿宋" w:hAnsi="仿宋" w:eastAsia="仿宋" w:cs="Times New Roman"/>
          <w:bCs/>
          <w:color w:val="000000"/>
          <w:kern w:val="2"/>
          <w:sz w:val="24"/>
          <w:szCs w:val="24"/>
        </w:rPr>
        <w:t>《上海证券报》</w:t>
      </w:r>
      <w:r>
        <w:rPr>
          <w:rFonts w:hint="eastAsia" w:ascii="仿宋" w:hAnsi="仿宋" w:eastAsia="仿宋" w:cs="Times New Roman"/>
          <w:bCs/>
          <w:color w:val="000000"/>
          <w:kern w:val="2"/>
          <w:sz w:val="24"/>
          <w:szCs w:val="24"/>
          <w:lang w:eastAsia="zh-CN"/>
        </w:rPr>
        <w:t>、</w:t>
      </w:r>
      <w:r>
        <w:rPr>
          <w:rFonts w:hint="eastAsia" w:ascii="仿宋" w:hAnsi="仿宋" w:eastAsia="仿宋" w:cs="Times New Roman"/>
          <w:bCs/>
          <w:color w:val="000000"/>
          <w:kern w:val="2"/>
          <w:sz w:val="24"/>
          <w:szCs w:val="24"/>
        </w:rPr>
        <w:t>《证券时报》</w:t>
      </w:r>
      <w:r>
        <w:rPr>
          <w:rFonts w:hint="eastAsia" w:ascii="仿宋" w:hAnsi="仿宋" w:eastAsia="仿宋" w:cs="Times New Roman"/>
          <w:bCs/>
          <w:color w:val="000000"/>
          <w:kern w:val="2"/>
          <w:sz w:val="24"/>
          <w:szCs w:val="24"/>
          <w:lang w:eastAsia="zh-CN"/>
        </w:rPr>
        <w:t>、</w:t>
      </w:r>
      <w:r>
        <w:rPr>
          <w:rFonts w:hint="eastAsia" w:ascii="仿宋" w:hAnsi="仿宋" w:eastAsia="仿宋" w:cs="Times New Roman"/>
          <w:bCs/>
          <w:color w:val="000000"/>
          <w:kern w:val="2"/>
          <w:sz w:val="24"/>
          <w:szCs w:val="24"/>
        </w:rPr>
        <w:t>《证券日报》和巨潮资讯网</w:t>
      </w:r>
      <w:r>
        <w:rPr>
          <w:rFonts w:hint="default" w:ascii="Times New Roman Regular" w:hAnsi="Times New Roman Regular" w:eastAsia="仿宋" w:cs="Times New Roman Regular"/>
          <w:color w:val="000000"/>
          <w:kern w:val="2"/>
          <w:sz w:val="24"/>
          <w:szCs w:val="24"/>
        </w:rPr>
        <w:t>（http://www.cninfo.com.cn）</w:t>
      </w:r>
      <w:r>
        <w:rPr>
          <w:rFonts w:hint="eastAsia" w:ascii="仿宋" w:hAnsi="仿宋" w:eastAsia="仿宋" w:cs="Times New Roman"/>
          <w:bCs/>
          <w:color w:val="000000"/>
          <w:kern w:val="2"/>
          <w:sz w:val="24"/>
          <w:szCs w:val="24"/>
        </w:rPr>
        <w:t>为公司指定信息披露媒体，公司所有信息均以上述指定媒体刊登的信息为准。敬请广大投资者理性投资，注意投资风险。</w:t>
      </w:r>
    </w:p>
    <w:p>
      <w:pPr>
        <w:autoSpaceDE/>
        <w:autoSpaceDN/>
        <w:spacing w:line="360" w:lineRule="auto"/>
        <w:ind w:firstLine="480" w:firstLineChars="200"/>
        <w:jc w:val="both"/>
        <w:rPr>
          <w:rFonts w:ascii="仿宋" w:hAnsi="仿宋" w:eastAsia="仿宋" w:cs="Times New Roman"/>
          <w:bCs/>
          <w:color w:val="000000"/>
          <w:kern w:val="2"/>
          <w:sz w:val="24"/>
          <w:szCs w:val="24"/>
          <w:lang w:eastAsia="zh-Hans"/>
        </w:rPr>
      </w:pPr>
    </w:p>
    <w:p>
      <w:pPr>
        <w:autoSpaceDE/>
        <w:autoSpaceDN/>
        <w:spacing w:line="360" w:lineRule="auto"/>
        <w:ind w:firstLine="480" w:firstLineChars="200"/>
        <w:jc w:val="both"/>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特此公告。</w:t>
      </w:r>
    </w:p>
    <w:p>
      <w:pPr>
        <w:autoSpaceDE/>
        <w:autoSpaceDN/>
        <w:spacing w:line="360" w:lineRule="auto"/>
        <w:ind w:firstLine="480" w:firstLineChars="200"/>
        <w:jc w:val="both"/>
        <w:rPr>
          <w:rFonts w:ascii="仿宋" w:hAnsi="仿宋" w:eastAsia="仿宋" w:cs="Times New Roman"/>
          <w:bCs/>
          <w:color w:val="000000"/>
          <w:kern w:val="2"/>
          <w:sz w:val="24"/>
          <w:szCs w:val="24"/>
        </w:rPr>
      </w:pPr>
    </w:p>
    <w:p>
      <w:pPr>
        <w:autoSpaceDE/>
        <w:autoSpaceDN/>
        <w:spacing w:line="360" w:lineRule="auto"/>
        <w:jc w:val="right"/>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江苏晶雪节能科技股份有限公司董事会</w:t>
      </w:r>
    </w:p>
    <w:p>
      <w:pPr>
        <w:autoSpaceDE/>
        <w:autoSpaceDN/>
        <w:spacing w:line="360" w:lineRule="auto"/>
        <w:jc w:val="right"/>
        <w:rPr>
          <w:rFonts w:ascii="仿宋" w:hAnsi="仿宋" w:eastAsia="仿宋" w:cs="Times New Roman"/>
          <w:bCs/>
          <w:color w:val="000000"/>
          <w:kern w:val="2"/>
          <w:sz w:val="24"/>
          <w:szCs w:val="24"/>
        </w:rPr>
      </w:pPr>
      <w:r>
        <w:rPr>
          <w:rFonts w:hint="eastAsia" w:ascii="仿宋" w:hAnsi="仿宋" w:eastAsia="仿宋" w:cs="Times New Roman"/>
          <w:bCs/>
          <w:color w:val="000000"/>
          <w:kern w:val="2"/>
          <w:sz w:val="24"/>
          <w:szCs w:val="24"/>
        </w:rPr>
        <w:t>2022年3月23日</w:t>
      </w:r>
    </w:p>
    <w:sectPr>
      <w:pgSz w:w="11910" w:h="16840"/>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414D"/>
    <w:multiLevelType w:val="singleLevel"/>
    <w:tmpl w:val="623941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FF"/>
    <w:rsid w:val="000115B7"/>
    <w:rsid w:val="00014190"/>
    <w:rsid w:val="00023643"/>
    <w:rsid w:val="00025F4B"/>
    <w:rsid w:val="00062BBF"/>
    <w:rsid w:val="00096A5C"/>
    <w:rsid w:val="000B1A8F"/>
    <w:rsid w:val="000C07E5"/>
    <w:rsid w:val="000E1652"/>
    <w:rsid w:val="00100282"/>
    <w:rsid w:val="001049E5"/>
    <w:rsid w:val="001140C1"/>
    <w:rsid w:val="001363EF"/>
    <w:rsid w:val="00144EE5"/>
    <w:rsid w:val="00184DB0"/>
    <w:rsid w:val="001A7D4C"/>
    <w:rsid w:val="001D7206"/>
    <w:rsid w:val="00225739"/>
    <w:rsid w:val="00237A07"/>
    <w:rsid w:val="00250BB0"/>
    <w:rsid w:val="002A485E"/>
    <w:rsid w:val="002A4AAD"/>
    <w:rsid w:val="002A6B05"/>
    <w:rsid w:val="00301771"/>
    <w:rsid w:val="00302A19"/>
    <w:rsid w:val="00320442"/>
    <w:rsid w:val="003516CD"/>
    <w:rsid w:val="00355D5A"/>
    <w:rsid w:val="00382DED"/>
    <w:rsid w:val="003B67B0"/>
    <w:rsid w:val="003D395A"/>
    <w:rsid w:val="003E2A48"/>
    <w:rsid w:val="003E32FF"/>
    <w:rsid w:val="00430F56"/>
    <w:rsid w:val="004311B7"/>
    <w:rsid w:val="004504E4"/>
    <w:rsid w:val="00460944"/>
    <w:rsid w:val="00472BCE"/>
    <w:rsid w:val="004B1547"/>
    <w:rsid w:val="004C75F9"/>
    <w:rsid w:val="004E35DF"/>
    <w:rsid w:val="004E7B15"/>
    <w:rsid w:val="00504030"/>
    <w:rsid w:val="00530415"/>
    <w:rsid w:val="00545DBC"/>
    <w:rsid w:val="00552FB4"/>
    <w:rsid w:val="00562DA4"/>
    <w:rsid w:val="005D7C49"/>
    <w:rsid w:val="00606B65"/>
    <w:rsid w:val="00626BE5"/>
    <w:rsid w:val="006A038C"/>
    <w:rsid w:val="006A6C3D"/>
    <w:rsid w:val="006C02FA"/>
    <w:rsid w:val="006C1EC2"/>
    <w:rsid w:val="006C2A7A"/>
    <w:rsid w:val="006C69EF"/>
    <w:rsid w:val="007028F2"/>
    <w:rsid w:val="00737666"/>
    <w:rsid w:val="00746363"/>
    <w:rsid w:val="00766A76"/>
    <w:rsid w:val="00767C1E"/>
    <w:rsid w:val="0077396C"/>
    <w:rsid w:val="00776569"/>
    <w:rsid w:val="007B4D38"/>
    <w:rsid w:val="007B57CA"/>
    <w:rsid w:val="007C3571"/>
    <w:rsid w:val="007E040F"/>
    <w:rsid w:val="007E6F4A"/>
    <w:rsid w:val="0080236E"/>
    <w:rsid w:val="00832CCC"/>
    <w:rsid w:val="00850435"/>
    <w:rsid w:val="008523B3"/>
    <w:rsid w:val="008645B8"/>
    <w:rsid w:val="00872827"/>
    <w:rsid w:val="0087797E"/>
    <w:rsid w:val="008A38E7"/>
    <w:rsid w:val="008D581E"/>
    <w:rsid w:val="008F40EA"/>
    <w:rsid w:val="00907AA6"/>
    <w:rsid w:val="00911673"/>
    <w:rsid w:val="00937B0D"/>
    <w:rsid w:val="009559EA"/>
    <w:rsid w:val="0097125C"/>
    <w:rsid w:val="009A14D5"/>
    <w:rsid w:val="009B43D9"/>
    <w:rsid w:val="009C21AD"/>
    <w:rsid w:val="009C6702"/>
    <w:rsid w:val="009F40C1"/>
    <w:rsid w:val="00A00670"/>
    <w:rsid w:val="00A0508E"/>
    <w:rsid w:val="00A52233"/>
    <w:rsid w:val="00A6175C"/>
    <w:rsid w:val="00A61F17"/>
    <w:rsid w:val="00A8743E"/>
    <w:rsid w:val="00A92610"/>
    <w:rsid w:val="00A94235"/>
    <w:rsid w:val="00A97C96"/>
    <w:rsid w:val="00AD3B7B"/>
    <w:rsid w:val="00AD578D"/>
    <w:rsid w:val="00AD7338"/>
    <w:rsid w:val="00AF4885"/>
    <w:rsid w:val="00B35ECD"/>
    <w:rsid w:val="00B36536"/>
    <w:rsid w:val="00B40FB4"/>
    <w:rsid w:val="00B73544"/>
    <w:rsid w:val="00B81189"/>
    <w:rsid w:val="00B816C7"/>
    <w:rsid w:val="00B85052"/>
    <w:rsid w:val="00B92E46"/>
    <w:rsid w:val="00B95388"/>
    <w:rsid w:val="00BA1315"/>
    <w:rsid w:val="00BB3601"/>
    <w:rsid w:val="00BF290B"/>
    <w:rsid w:val="00BF3280"/>
    <w:rsid w:val="00C11C30"/>
    <w:rsid w:val="00C22ED4"/>
    <w:rsid w:val="00C371DB"/>
    <w:rsid w:val="00C41907"/>
    <w:rsid w:val="00C4621C"/>
    <w:rsid w:val="00C65293"/>
    <w:rsid w:val="00C7373E"/>
    <w:rsid w:val="00C841C2"/>
    <w:rsid w:val="00C97169"/>
    <w:rsid w:val="00CA1643"/>
    <w:rsid w:val="00CA4619"/>
    <w:rsid w:val="00CB5B68"/>
    <w:rsid w:val="00CD025C"/>
    <w:rsid w:val="00CD7972"/>
    <w:rsid w:val="00CE0F5B"/>
    <w:rsid w:val="00CF2B22"/>
    <w:rsid w:val="00D01100"/>
    <w:rsid w:val="00D64C4A"/>
    <w:rsid w:val="00D73EE6"/>
    <w:rsid w:val="00DC1709"/>
    <w:rsid w:val="00DF1A41"/>
    <w:rsid w:val="00E01E5A"/>
    <w:rsid w:val="00E23762"/>
    <w:rsid w:val="00E619F8"/>
    <w:rsid w:val="00E824B9"/>
    <w:rsid w:val="00EA3171"/>
    <w:rsid w:val="00EB0ECD"/>
    <w:rsid w:val="00EC11C0"/>
    <w:rsid w:val="00EE5631"/>
    <w:rsid w:val="00EF2B39"/>
    <w:rsid w:val="00F056CF"/>
    <w:rsid w:val="00F312E1"/>
    <w:rsid w:val="00F36E63"/>
    <w:rsid w:val="00F45CA3"/>
    <w:rsid w:val="00F558CE"/>
    <w:rsid w:val="00F876DD"/>
    <w:rsid w:val="00FD1935"/>
    <w:rsid w:val="00FE1B81"/>
    <w:rsid w:val="00FE6836"/>
    <w:rsid w:val="016245C6"/>
    <w:rsid w:val="026B3007"/>
    <w:rsid w:val="02F0175E"/>
    <w:rsid w:val="030376E3"/>
    <w:rsid w:val="04C9495C"/>
    <w:rsid w:val="05085485"/>
    <w:rsid w:val="05FE4192"/>
    <w:rsid w:val="061B33AB"/>
    <w:rsid w:val="06A0349B"/>
    <w:rsid w:val="092B1742"/>
    <w:rsid w:val="09776735"/>
    <w:rsid w:val="0A3E36F7"/>
    <w:rsid w:val="0AF3628F"/>
    <w:rsid w:val="0B3128A9"/>
    <w:rsid w:val="0BCE4606"/>
    <w:rsid w:val="0BE04A65"/>
    <w:rsid w:val="0CAB70F6"/>
    <w:rsid w:val="0CE51C08"/>
    <w:rsid w:val="0DD97762"/>
    <w:rsid w:val="0E975183"/>
    <w:rsid w:val="0F2904D1"/>
    <w:rsid w:val="1032785A"/>
    <w:rsid w:val="107B2FAF"/>
    <w:rsid w:val="112278CE"/>
    <w:rsid w:val="11731ED8"/>
    <w:rsid w:val="11902A8A"/>
    <w:rsid w:val="11D64215"/>
    <w:rsid w:val="124E024F"/>
    <w:rsid w:val="12A27958"/>
    <w:rsid w:val="132A4818"/>
    <w:rsid w:val="138C7281"/>
    <w:rsid w:val="144F1A27"/>
    <w:rsid w:val="1461426A"/>
    <w:rsid w:val="146E6FC3"/>
    <w:rsid w:val="14EB7FD7"/>
    <w:rsid w:val="151B4D60"/>
    <w:rsid w:val="16302145"/>
    <w:rsid w:val="164E6DCF"/>
    <w:rsid w:val="1653052A"/>
    <w:rsid w:val="165602F2"/>
    <w:rsid w:val="16734728"/>
    <w:rsid w:val="16FF7D6A"/>
    <w:rsid w:val="17654071"/>
    <w:rsid w:val="17760AF2"/>
    <w:rsid w:val="180B10BC"/>
    <w:rsid w:val="187F73B4"/>
    <w:rsid w:val="18C33745"/>
    <w:rsid w:val="191F46F3"/>
    <w:rsid w:val="19B1359D"/>
    <w:rsid w:val="1A4E34E2"/>
    <w:rsid w:val="1B140288"/>
    <w:rsid w:val="1B506DE6"/>
    <w:rsid w:val="1BA50EE0"/>
    <w:rsid w:val="1BC3580A"/>
    <w:rsid w:val="1BE834C2"/>
    <w:rsid w:val="1CBA4E5F"/>
    <w:rsid w:val="1D183933"/>
    <w:rsid w:val="1DB16262"/>
    <w:rsid w:val="1DCB4E4A"/>
    <w:rsid w:val="1DE2466D"/>
    <w:rsid w:val="1E002D45"/>
    <w:rsid w:val="1E636E30"/>
    <w:rsid w:val="1EF87EC0"/>
    <w:rsid w:val="206770AC"/>
    <w:rsid w:val="22185146"/>
    <w:rsid w:val="221E19EC"/>
    <w:rsid w:val="223905D4"/>
    <w:rsid w:val="226F2F3E"/>
    <w:rsid w:val="227710FC"/>
    <w:rsid w:val="228A7081"/>
    <w:rsid w:val="2305495A"/>
    <w:rsid w:val="23827D58"/>
    <w:rsid w:val="23C245F9"/>
    <w:rsid w:val="24C26FA6"/>
    <w:rsid w:val="24C7636A"/>
    <w:rsid w:val="25387269"/>
    <w:rsid w:val="2650413E"/>
    <w:rsid w:val="27532138"/>
    <w:rsid w:val="276A7481"/>
    <w:rsid w:val="27BBF360"/>
    <w:rsid w:val="29E452C9"/>
    <w:rsid w:val="2A2C6C70"/>
    <w:rsid w:val="2A930A9D"/>
    <w:rsid w:val="2AC82E3D"/>
    <w:rsid w:val="2B0F7FA3"/>
    <w:rsid w:val="2B287437"/>
    <w:rsid w:val="2CA46F92"/>
    <w:rsid w:val="2CD43785"/>
    <w:rsid w:val="2CE51A84"/>
    <w:rsid w:val="2D1874F4"/>
    <w:rsid w:val="2DA63EBB"/>
    <w:rsid w:val="2F064E2E"/>
    <w:rsid w:val="2F9C21A2"/>
    <w:rsid w:val="303074BA"/>
    <w:rsid w:val="307750E9"/>
    <w:rsid w:val="3095731D"/>
    <w:rsid w:val="32BD2B5B"/>
    <w:rsid w:val="32D81743"/>
    <w:rsid w:val="33A51F6D"/>
    <w:rsid w:val="33BE302F"/>
    <w:rsid w:val="34713BFD"/>
    <w:rsid w:val="35633E8E"/>
    <w:rsid w:val="362D7FF8"/>
    <w:rsid w:val="363C648D"/>
    <w:rsid w:val="36E508D2"/>
    <w:rsid w:val="37547412"/>
    <w:rsid w:val="37C14E9C"/>
    <w:rsid w:val="38211DDE"/>
    <w:rsid w:val="38471845"/>
    <w:rsid w:val="38F41DB3"/>
    <w:rsid w:val="3911760D"/>
    <w:rsid w:val="3938118D"/>
    <w:rsid w:val="39475874"/>
    <w:rsid w:val="395104A1"/>
    <w:rsid w:val="39917020"/>
    <w:rsid w:val="39ED01CA"/>
    <w:rsid w:val="3B556027"/>
    <w:rsid w:val="3C2123AD"/>
    <w:rsid w:val="3C355E58"/>
    <w:rsid w:val="3CC52D38"/>
    <w:rsid w:val="3D09356D"/>
    <w:rsid w:val="3DFDE04E"/>
    <w:rsid w:val="3E7E1019"/>
    <w:rsid w:val="3F9905F8"/>
    <w:rsid w:val="417F4AF0"/>
    <w:rsid w:val="419378A9"/>
    <w:rsid w:val="42C81CE0"/>
    <w:rsid w:val="42CD6DEA"/>
    <w:rsid w:val="44B244EA"/>
    <w:rsid w:val="44F248E6"/>
    <w:rsid w:val="45686297"/>
    <w:rsid w:val="45905EAD"/>
    <w:rsid w:val="46F3394C"/>
    <w:rsid w:val="47E36768"/>
    <w:rsid w:val="48CB7A71"/>
    <w:rsid w:val="49E57818"/>
    <w:rsid w:val="4A270650"/>
    <w:rsid w:val="4B7F0E9E"/>
    <w:rsid w:val="4CC853DD"/>
    <w:rsid w:val="4CCA7EF7"/>
    <w:rsid w:val="4DD033E3"/>
    <w:rsid w:val="4E84687C"/>
    <w:rsid w:val="4F4F2935"/>
    <w:rsid w:val="4F622668"/>
    <w:rsid w:val="5075461D"/>
    <w:rsid w:val="50ED2406"/>
    <w:rsid w:val="5196729A"/>
    <w:rsid w:val="525F10E1"/>
    <w:rsid w:val="52734B8D"/>
    <w:rsid w:val="53B92A73"/>
    <w:rsid w:val="54660E4D"/>
    <w:rsid w:val="54D538DD"/>
    <w:rsid w:val="550D751A"/>
    <w:rsid w:val="555D3FFE"/>
    <w:rsid w:val="55A27C63"/>
    <w:rsid w:val="5617182F"/>
    <w:rsid w:val="566D64C3"/>
    <w:rsid w:val="57E864D5"/>
    <w:rsid w:val="580F5357"/>
    <w:rsid w:val="591D07BD"/>
    <w:rsid w:val="5996188C"/>
    <w:rsid w:val="5A00764E"/>
    <w:rsid w:val="5AA47FD9"/>
    <w:rsid w:val="5AF01470"/>
    <w:rsid w:val="5AF26F96"/>
    <w:rsid w:val="5B1F58B2"/>
    <w:rsid w:val="5B841BB9"/>
    <w:rsid w:val="5D347D3A"/>
    <w:rsid w:val="5D3C274B"/>
    <w:rsid w:val="5D5C4B9B"/>
    <w:rsid w:val="5D731EE5"/>
    <w:rsid w:val="5DA230D6"/>
    <w:rsid w:val="5DF254FF"/>
    <w:rsid w:val="5ED115B9"/>
    <w:rsid w:val="5FCC24AC"/>
    <w:rsid w:val="614222FA"/>
    <w:rsid w:val="61D76EE6"/>
    <w:rsid w:val="62614A02"/>
    <w:rsid w:val="62B45479"/>
    <w:rsid w:val="63F41FD1"/>
    <w:rsid w:val="63FA510E"/>
    <w:rsid w:val="640B2E77"/>
    <w:rsid w:val="647B624F"/>
    <w:rsid w:val="64813139"/>
    <w:rsid w:val="656F7435"/>
    <w:rsid w:val="65DF280D"/>
    <w:rsid w:val="65E25E59"/>
    <w:rsid w:val="67C779FD"/>
    <w:rsid w:val="67E22141"/>
    <w:rsid w:val="67ED7463"/>
    <w:rsid w:val="67FA56DC"/>
    <w:rsid w:val="685C1EF3"/>
    <w:rsid w:val="68DB3760"/>
    <w:rsid w:val="68F0088D"/>
    <w:rsid w:val="69CC03FD"/>
    <w:rsid w:val="6A9811DC"/>
    <w:rsid w:val="6B3E3B32"/>
    <w:rsid w:val="6BD44496"/>
    <w:rsid w:val="6BEF36BF"/>
    <w:rsid w:val="6D08089B"/>
    <w:rsid w:val="6DC522E8"/>
    <w:rsid w:val="6EEB5D7F"/>
    <w:rsid w:val="6F394D3C"/>
    <w:rsid w:val="6F4D4C8B"/>
    <w:rsid w:val="6F6D0E8A"/>
    <w:rsid w:val="6FA56875"/>
    <w:rsid w:val="706C1141"/>
    <w:rsid w:val="70812E3F"/>
    <w:rsid w:val="71866233"/>
    <w:rsid w:val="72A73696"/>
    <w:rsid w:val="72A746B3"/>
    <w:rsid w:val="73357F10"/>
    <w:rsid w:val="740021FA"/>
    <w:rsid w:val="74143FCA"/>
    <w:rsid w:val="742E508B"/>
    <w:rsid w:val="7431692A"/>
    <w:rsid w:val="747EE477"/>
    <w:rsid w:val="75357D54"/>
    <w:rsid w:val="75862CA5"/>
    <w:rsid w:val="75C4732A"/>
    <w:rsid w:val="76D37824"/>
    <w:rsid w:val="775A1CF3"/>
    <w:rsid w:val="77690189"/>
    <w:rsid w:val="77DE46D3"/>
    <w:rsid w:val="77FD919B"/>
    <w:rsid w:val="786D3CA8"/>
    <w:rsid w:val="78E8332F"/>
    <w:rsid w:val="79EE595C"/>
    <w:rsid w:val="7ABB519F"/>
    <w:rsid w:val="7AC06311"/>
    <w:rsid w:val="7BAE0860"/>
    <w:rsid w:val="7BC12651"/>
    <w:rsid w:val="7C3C2310"/>
    <w:rsid w:val="7C7A4BE6"/>
    <w:rsid w:val="7CD1196C"/>
    <w:rsid w:val="7D782ED3"/>
    <w:rsid w:val="9F7A141D"/>
    <w:rsid w:val="E6FF4CF3"/>
    <w:rsid w:val="EBB58F12"/>
    <w:rsid w:val="FBD6D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style>
  <w:style w:type="paragraph" w:styleId="3">
    <w:name w:val="Body Text"/>
    <w:basedOn w:val="1"/>
    <w:qFormat/>
    <w:uiPriority w:val="1"/>
    <w:rPr>
      <w:sz w:val="24"/>
      <w:szCs w:val="24"/>
    </w:rPr>
  </w:style>
  <w:style w:type="paragraph" w:styleId="4">
    <w:name w:val="Balloon Text"/>
    <w:basedOn w:val="1"/>
    <w:link w:val="21"/>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autoSpaceDE/>
      <w:autoSpaceDN/>
      <w:spacing w:before="100" w:beforeAutospacing="1" w:after="100" w:afterAutospacing="1"/>
    </w:pPr>
    <w:rPr>
      <w:color w:val="000000"/>
      <w:sz w:val="24"/>
      <w:szCs w:val="24"/>
    </w:rPr>
  </w:style>
  <w:style w:type="paragraph" w:styleId="8">
    <w:name w:val="Title"/>
    <w:basedOn w:val="1"/>
    <w:qFormat/>
    <w:uiPriority w:val="1"/>
    <w:pPr>
      <w:spacing w:before="232"/>
      <w:ind w:right="93"/>
      <w:jc w:val="center"/>
    </w:pPr>
    <w:rPr>
      <w:b/>
      <w:bCs/>
      <w:sz w:val="32"/>
      <w:szCs w:val="32"/>
    </w:rPr>
  </w:style>
  <w:style w:type="paragraph" w:styleId="9">
    <w:name w:val="annotation subject"/>
    <w:basedOn w:val="2"/>
    <w:next w:val="2"/>
    <w:link w:val="23"/>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table" w:customStyle="1" w:styleId="15">
    <w:name w:val="Table Normal"/>
    <w:unhideWhenUsed/>
    <w:qFormat/>
    <w:uiPriority w:val="2"/>
    <w:tblPr>
      <w:tblCellMar>
        <w:top w:w="0" w:type="dxa"/>
        <w:left w:w="0" w:type="dxa"/>
        <w:bottom w:w="0" w:type="dxa"/>
        <w:right w:w="0" w:type="dxa"/>
      </w:tblCellMar>
    </w:tblPr>
  </w:style>
  <w:style w:type="paragraph" w:customStyle="1" w:styleId="16">
    <w:name w:val="标题 11"/>
    <w:basedOn w:val="1"/>
    <w:qFormat/>
    <w:uiPriority w:val="1"/>
    <w:pPr>
      <w:ind w:left="602"/>
      <w:outlineLvl w:val="1"/>
    </w:pPr>
    <w:rPr>
      <w:b/>
      <w:bCs/>
      <w:sz w:val="24"/>
      <w:szCs w:val="24"/>
    </w:rPr>
  </w:style>
  <w:style w:type="paragraph" w:customStyle="1" w:styleId="17">
    <w:name w:val="列出段落1"/>
    <w:basedOn w:val="1"/>
    <w:qFormat/>
    <w:uiPriority w:val="1"/>
  </w:style>
  <w:style w:type="paragraph" w:customStyle="1" w:styleId="18">
    <w:name w:val="Table Paragraph"/>
    <w:basedOn w:val="1"/>
    <w:qFormat/>
    <w:uiPriority w:val="1"/>
  </w:style>
  <w:style w:type="character" w:customStyle="1" w:styleId="19">
    <w:name w:val="页眉 Char"/>
    <w:basedOn w:val="12"/>
    <w:link w:val="6"/>
    <w:semiHidden/>
    <w:qFormat/>
    <w:uiPriority w:val="99"/>
    <w:rPr>
      <w:rFonts w:ascii="宋体" w:hAnsi="宋体" w:eastAsia="宋体" w:cs="宋体"/>
      <w:sz w:val="18"/>
      <w:szCs w:val="18"/>
      <w:lang w:eastAsia="zh-CN"/>
    </w:rPr>
  </w:style>
  <w:style w:type="character" w:customStyle="1" w:styleId="20">
    <w:name w:val="页脚 Char"/>
    <w:basedOn w:val="12"/>
    <w:link w:val="5"/>
    <w:semiHidden/>
    <w:qFormat/>
    <w:uiPriority w:val="99"/>
    <w:rPr>
      <w:rFonts w:ascii="宋体" w:hAnsi="宋体" w:eastAsia="宋体" w:cs="宋体"/>
      <w:sz w:val="18"/>
      <w:szCs w:val="18"/>
      <w:lang w:eastAsia="zh-CN"/>
    </w:rPr>
  </w:style>
  <w:style w:type="character" w:customStyle="1" w:styleId="21">
    <w:name w:val="批注框文本 Char"/>
    <w:basedOn w:val="12"/>
    <w:link w:val="4"/>
    <w:semiHidden/>
    <w:qFormat/>
    <w:uiPriority w:val="99"/>
    <w:rPr>
      <w:rFonts w:ascii="宋体" w:hAnsi="宋体" w:eastAsia="宋体" w:cs="宋体"/>
      <w:sz w:val="18"/>
      <w:szCs w:val="18"/>
    </w:rPr>
  </w:style>
  <w:style w:type="character" w:customStyle="1" w:styleId="22">
    <w:name w:val="批注文字 Char"/>
    <w:basedOn w:val="12"/>
    <w:link w:val="2"/>
    <w:semiHidden/>
    <w:qFormat/>
    <w:uiPriority w:val="99"/>
    <w:rPr>
      <w:rFonts w:ascii="宋体" w:hAnsi="宋体" w:eastAsia="宋体" w:cs="宋体"/>
      <w:sz w:val="22"/>
      <w:szCs w:val="22"/>
    </w:rPr>
  </w:style>
  <w:style w:type="character" w:customStyle="1" w:styleId="23">
    <w:name w:val="批注主题 Char"/>
    <w:basedOn w:val="22"/>
    <w:link w:val="9"/>
    <w:semiHidden/>
    <w:qFormat/>
    <w:uiPriority w:val="99"/>
    <w:rPr>
      <w:rFonts w:ascii="宋体" w:hAnsi="宋体" w:eastAsia="宋体" w:cs="宋体"/>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3368</Words>
  <Characters>3897</Characters>
  <Lines>29</Lines>
  <Paragraphs>8</Paragraphs>
  <TotalTime>14</TotalTime>
  <ScaleCrop>false</ScaleCrop>
  <LinksUpToDate>false</LinksUpToDate>
  <CharactersWithSpaces>3914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2022-03-23T00:41:00Z</dcterms:created>
  <dc:creator>Administrator</dc:creator>
  <cp:lastModifiedBy>庄妍雨</cp:lastModifiedBy>
  <cp:lastPrinted>2022-03-23T12:54:00Z</cp:lastPrinted>
  <dcterms:modified xsi:type="dcterms:W3CDTF">2022-03-23T06:30:07Z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Aspose Ltd.</vt:lpwstr>
  </property>
  <property fmtid="{D5CDD505-2E9C-101B-9397-08002B2CF9AE}" pid="4" name="LastSaved">
    <vt:filetime>2021-06-26T00:00:00Z</vt:filetime>
  </property>
  <property fmtid="{D5CDD505-2E9C-101B-9397-08002B2CF9AE}" pid="5" name="KSOProductBuildVer">
    <vt:lpwstr>2052-11.1.0.10578</vt:lpwstr>
  </property>
  <property fmtid="{D5CDD505-2E9C-101B-9397-08002B2CF9AE}" pid="6" name="ICV">
    <vt:lpwstr>E016F8ABA28B4602B3614A30C2C29C39</vt:lpwstr>
  </property>
</Properties>
</file>