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jc w:val="both"/>
        <w:rPr>
          <w:rFonts w:hint="default" w:ascii="仿宋" w:hAnsi="仿宋" w:eastAsia="仿宋" w:cs="Times New Roman"/>
          <w:color w:val="000000"/>
          <w:kern w:val="2"/>
          <w:sz w:val="24"/>
          <w:szCs w:val="24"/>
          <w:lang w:val="en-US" w:eastAsia="zh-CN"/>
        </w:rPr>
      </w:pPr>
      <w:r>
        <w:rPr>
          <w:rFonts w:ascii="仿宋" w:hAnsi="仿宋" w:eastAsia="仿宋" w:cs="Times New Roman"/>
          <w:color w:val="000000"/>
          <w:kern w:val="2"/>
          <w:sz w:val="24"/>
          <w:szCs w:val="24"/>
        </w:rPr>
        <w:t>证券代码：301010</w:t>
      </w:r>
      <w:r>
        <w:rPr>
          <w:rFonts w:ascii="仿宋" w:hAnsi="仿宋" w:eastAsia="仿宋" w:cs="Times New Roman"/>
          <w:color w:val="000000"/>
          <w:kern w:val="2"/>
          <w:sz w:val="24"/>
          <w:szCs w:val="24"/>
        </w:rPr>
        <w:tab/>
      </w:r>
      <w:r>
        <w:rPr>
          <w:rFonts w:hint="eastAsia" w:ascii="仿宋" w:hAnsi="仿宋" w:eastAsia="仿宋" w:cs="Times New Roman"/>
          <w:color w:val="000000"/>
          <w:kern w:val="2"/>
          <w:sz w:val="24"/>
          <w:szCs w:val="24"/>
          <w:lang w:val="en-US" w:eastAsia="zh-CN"/>
        </w:rPr>
        <w:t xml:space="preserve">       </w:t>
      </w:r>
      <w:r>
        <w:rPr>
          <w:rFonts w:ascii="仿宋" w:hAnsi="仿宋" w:eastAsia="仿宋" w:cs="Times New Roman"/>
          <w:color w:val="000000"/>
          <w:kern w:val="2"/>
          <w:sz w:val="24"/>
          <w:szCs w:val="24"/>
        </w:rPr>
        <w:t>证券简称：</w:t>
      </w:r>
      <w:r>
        <w:rPr>
          <w:rFonts w:hint="eastAsia" w:ascii="仿宋" w:hAnsi="仿宋" w:eastAsia="仿宋" w:cs="Times New Roman"/>
          <w:color w:val="000000"/>
          <w:kern w:val="2"/>
          <w:sz w:val="24"/>
          <w:szCs w:val="24"/>
        </w:rPr>
        <w:t>晶雪节能</w:t>
      </w:r>
      <w:r>
        <w:rPr>
          <w:rFonts w:ascii="仿宋" w:hAnsi="仿宋" w:eastAsia="仿宋" w:cs="Times New Roman"/>
          <w:color w:val="000000"/>
          <w:kern w:val="2"/>
          <w:sz w:val="24"/>
          <w:szCs w:val="24"/>
        </w:rPr>
        <w:tab/>
      </w:r>
      <w:r>
        <w:rPr>
          <w:rFonts w:hint="eastAsia" w:ascii="仿宋" w:hAnsi="仿宋" w:eastAsia="仿宋" w:cs="Times New Roman"/>
          <w:color w:val="000000"/>
          <w:kern w:val="2"/>
          <w:sz w:val="24"/>
          <w:szCs w:val="24"/>
          <w:lang w:val="en-US" w:eastAsia="zh-CN"/>
        </w:rPr>
        <w:t xml:space="preserve">   </w:t>
      </w:r>
      <w:r>
        <w:rPr>
          <w:rFonts w:ascii="仿宋" w:hAnsi="仿宋" w:eastAsia="仿宋" w:cs="Times New Roman"/>
          <w:color w:val="000000"/>
          <w:kern w:val="2"/>
          <w:sz w:val="24"/>
          <w:szCs w:val="24"/>
        </w:rPr>
        <w:t>公告编号：2022-008</w:t>
      </w:r>
    </w:p>
    <w:p>
      <w:pPr>
        <w:adjustRightInd w:val="0"/>
        <w:spacing w:line="360" w:lineRule="auto"/>
        <w:jc w:val="center"/>
        <w:rPr>
          <w:rFonts w:ascii="仿宋" w:hAnsi="仿宋" w:eastAsia="仿宋" w:cs="Times New Roman"/>
          <w:color w:val="000000"/>
          <w:kern w:val="2"/>
          <w:sz w:val="24"/>
          <w:szCs w:val="24"/>
        </w:rPr>
      </w:pPr>
    </w:p>
    <w:p>
      <w:pPr>
        <w:autoSpaceDE/>
        <w:autoSpaceDN/>
        <w:snapToGrid w:val="0"/>
        <w:spacing w:before="156" w:beforeLines="50" w:line="360" w:lineRule="auto"/>
        <w:jc w:val="center"/>
        <w:rPr>
          <w:rFonts w:ascii="仿宋" w:hAnsi="仿宋" w:eastAsia="仿宋" w:cs="Times New Roman"/>
          <w:b/>
          <w:bCs w:val="0"/>
          <w:color w:val="000000"/>
          <w:kern w:val="2"/>
          <w:sz w:val="24"/>
          <w:szCs w:val="24"/>
        </w:rPr>
      </w:pPr>
      <w:r>
        <w:rPr>
          <w:rFonts w:hint="eastAsia" w:ascii="仿宋" w:hAnsi="仿宋" w:eastAsia="仿宋" w:cs="Times New Roman"/>
          <w:b/>
          <w:bCs w:val="0"/>
          <w:color w:val="000000"/>
          <w:kern w:val="2"/>
          <w:sz w:val="24"/>
          <w:szCs w:val="24"/>
        </w:rPr>
        <w:t>江苏晶雪节能科技股份有限公司</w:t>
      </w:r>
    </w:p>
    <w:p>
      <w:pPr>
        <w:autoSpaceDE/>
        <w:autoSpaceDN/>
        <w:snapToGrid w:val="0"/>
        <w:spacing w:before="156" w:beforeLines="50" w:line="360" w:lineRule="auto"/>
        <w:jc w:val="center"/>
        <w:rPr>
          <w:rFonts w:ascii="仿宋" w:hAnsi="仿宋" w:eastAsia="仿宋" w:cs="Times New Roman"/>
          <w:b/>
          <w:bCs w:val="0"/>
          <w:color w:val="000000"/>
          <w:kern w:val="2"/>
          <w:sz w:val="24"/>
          <w:szCs w:val="24"/>
        </w:rPr>
      </w:pPr>
      <w:r>
        <w:rPr>
          <w:rFonts w:hint="eastAsia" w:ascii="仿宋" w:hAnsi="仿宋" w:eastAsia="仿宋" w:cs="Times New Roman"/>
          <w:b/>
          <w:bCs w:val="0"/>
          <w:color w:val="000000"/>
          <w:kern w:val="2"/>
          <w:sz w:val="24"/>
          <w:szCs w:val="24"/>
          <w:lang w:eastAsia="zh-CN"/>
        </w:rPr>
        <w:t>股票交易异常波动</w:t>
      </w:r>
      <w:r>
        <w:rPr>
          <w:rFonts w:hint="eastAsia" w:ascii="仿宋" w:hAnsi="仿宋" w:eastAsia="仿宋" w:cs="Times New Roman"/>
          <w:b/>
          <w:bCs w:val="0"/>
          <w:color w:val="000000"/>
          <w:kern w:val="2"/>
          <w:sz w:val="24"/>
          <w:szCs w:val="24"/>
        </w:rPr>
        <w:t>公告</w:t>
      </w:r>
    </w:p>
    <w:tbl>
      <w:tblPr>
        <w:tblStyle w:val="13"/>
        <w:tblpPr w:leftFromText="180" w:rightFromText="180" w:vertAnchor="text" w:horzAnchor="page" w:tblpX="1849" w:tblpY="6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rPr>
          <w:trHeight w:val="1103" w:hRule="atLeast"/>
        </w:trPr>
        <w:tc>
          <w:tcPr>
            <w:tcW w:w="8522" w:type="dxa"/>
            <w:tcBorders>
              <w:top w:val="single" w:color="auto" w:sz="4" w:space="0"/>
              <w:left w:val="single" w:color="auto" w:sz="4" w:space="0"/>
              <w:bottom w:val="single" w:color="auto" w:sz="4" w:space="0"/>
              <w:right w:val="single" w:color="auto" w:sz="4" w:space="0"/>
            </w:tcBorders>
          </w:tcPr>
          <w:p>
            <w:pPr>
              <w:widowControl/>
              <w:spacing w:line="440" w:lineRule="exact"/>
              <w:ind w:firstLine="480" w:firstLineChars="200"/>
              <w:rPr>
                <w:rFonts w:ascii="楷体" w:hAnsi="楷体" w:eastAsia="楷体"/>
                <w:color w:val="000000"/>
                <w:sz w:val="24"/>
                <w:szCs w:val="24"/>
              </w:rPr>
            </w:pPr>
            <w:r>
              <w:rPr>
                <w:rFonts w:hint="eastAsia" w:ascii="楷体" w:hAnsi="楷体" w:eastAsia="楷体"/>
                <w:color w:val="000000"/>
                <w:sz w:val="24"/>
                <w:szCs w:val="24"/>
              </w:rPr>
              <w:t>本公司及董事会全体成员保证信息披露内容的真实、准确和完整，没有虚假记载、误导性陈述或重大遗漏。</w:t>
            </w:r>
          </w:p>
        </w:tc>
      </w:tr>
    </w:tbl>
    <w:p>
      <w:pPr>
        <w:widowControl/>
        <w:autoSpaceDE/>
        <w:autoSpaceDN/>
        <w:spacing w:line="440" w:lineRule="exact"/>
        <w:jc w:val="both"/>
        <w:rPr>
          <w:b/>
          <w:sz w:val="24"/>
          <w:szCs w:val="24"/>
        </w:rPr>
      </w:pPr>
    </w:p>
    <w:p>
      <w:pPr>
        <w:autoSpaceDE/>
        <w:autoSpaceDN/>
        <w:spacing w:line="360" w:lineRule="auto"/>
        <w:ind w:firstLine="482" w:firstLineChars="200"/>
        <w:jc w:val="both"/>
        <w:rPr>
          <w:rFonts w:ascii="仿宋" w:hAnsi="仿宋" w:eastAsia="仿宋" w:cs="Times New Roman"/>
          <w:b/>
          <w:color w:val="000000"/>
          <w:kern w:val="2"/>
          <w:sz w:val="24"/>
          <w:szCs w:val="24"/>
        </w:rPr>
      </w:pPr>
      <w:r>
        <w:rPr>
          <w:rFonts w:hint="eastAsia" w:ascii="仿宋" w:hAnsi="仿宋" w:eastAsia="仿宋" w:cs="Times New Roman"/>
          <w:b/>
          <w:color w:val="000000"/>
          <w:kern w:val="2"/>
          <w:sz w:val="24"/>
          <w:szCs w:val="24"/>
        </w:rPr>
        <w:t>一、股票交易异常波动情况</w:t>
      </w:r>
    </w:p>
    <w:p>
      <w:pPr>
        <w:pStyle w:val="4"/>
        <w:spacing w:line="360" w:lineRule="auto"/>
        <w:ind w:firstLine="480" w:firstLineChars="200"/>
        <w:jc w:val="both"/>
        <w:rPr>
          <w:rFonts w:hint="eastAsia" w:ascii="仿宋" w:hAnsi="仿宋" w:eastAsia="仿宋" w:cs="Times New Roman"/>
          <w:color w:val="000000"/>
          <w:kern w:val="2"/>
          <w:sz w:val="24"/>
          <w:szCs w:val="24"/>
        </w:rPr>
      </w:pPr>
      <w:r>
        <w:rPr>
          <w:rFonts w:hint="eastAsia" w:ascii="仿宋" w:hAnsi="仿宋" w:eastAsia="仿宋" w:cs="Times New Roman"/>
          <w:color w:val="000000"/>
          <w:kern w:val="2"/>
          <w:sz w:val="24"/>
          <w:szCs w:val="24"/>
          <w:lang w:val="en-US" w:eastAsia="zh-CN" w:bidi="ar-SA"/>
        </w:rPr>
        <w:t>江苏晶雪节能科技股份有限公司（以下简称“公司”）（证券简称：晶雪节能，证券代码：301010）股票</w:t>
      </w:r>
      <w:r>
        <w:rPr>
          <w:rFonts w:hint="eastAsia" w:ascii="仿宋" w:hAnsi="仿宋" w:eastAsia="仿宋" w:cs="Times New Roman"/>
          <w:color w:val="000000"/>
          <w:kern w:val="2"/>
          <w:sz w:val="24"/>
          <w:szCs w:val="24"/>
          <w:lang w:val="en-US" w:eastAsia="zh-Hans" w:bidi="ar-SA"/>
        </w:rPr>
        <w:t>交易价格</w:t>
      </w:r>
      <w:r>
        <w:rPr>
          <w:rFonts w:hint="eastAsia" w:ascii="仿宋" w:hAnsi="仿宋" w:eastAsia="仿宋" w:cs="Times New Roman"/>
          <w:color w:val="000000"/>
          <w:kern w:val="2"/>
          <w:sz w:val="24"/>
          <w:szCs w:val="24"/>
          <w:lang w:val="en-US" w:eastAsia="zh-CN" w:bidi="ar-SA"/>
        </w:rPr>
        <w:t>连续</w:t>
      </w:r>
      <w:r>
        <w:rPr>
          <w:rFonts w:hint="eastAsia" w:ascii="仿宋" w:hAnsi="仿宋" w:eastAsia="仿宋" w:cs="Times New Roman"/>
          <w:color w:val="000000"/>
          <w:kern w:val="2"/>
          <w:sz w:val="24"/>
          <w:szCs w:val="24"/>
          <w:lang w:val="en-US" w:eastAsia="zh-Hans" w:bidi="ar-SA"/>
        </w:rPr>
        <w:t>三</w:t>
      </w:r>
      <w:r>
        <w:rPr>
          <w:rFonts w:hint="eastAsia" w:ascii="仿宋" w:hAnsi="仿宋" w:eastAsia="仿宋" w:cs="Times New Roman"/>
          <w:color w:val="000000"/>
          <w:kern w:val="2"/>
          <w:sz w:val="24"/>
          <w:szCs w:val="24"/>
          <w:lang w:val="en-US" w:eastAsia="zh-CN" w:bidi="ar-SA"/>
        </w:rPr>
        <w:t>个交易日</w:t>
      </w:r>
      <w:r>
        <w:rPr>
          <w:rFonts w:hint="eastAsia" w:ascii="仿宋" w:hAnsi="仿宋" w:eastAsia="仿宋" w:cs="Times New Roman"/>
          <w:color w:val="000000"/>
          <w:kern w:val="2"/>
          <w:sz w:val="24"/>
          <w:szCs w:val="24"/>
          <w:lang w:val="en-US" w:eastAsia="zh-Hans" w:bidi="ar-SA"/>
        </w:rPr>
        <w:t>内</w:t>
      </w:r>
      <w:r>
        <w:rPr>
          <w:rFonts w:hint="default" w:ascii="仿宋" w:hAnsi="仿宋" w:eastAsia="仿宋" w:cs="Times New Roman"/>
          <w:color w:val="000000"/>
          <w:kern w:val="2"/>
          <w:sz w:val="24"/>
          <w:szCs w:val="24"/>
          <w:lang w:eastAsia="zh-CN" w:bidi="ar-SA"/>
        </w:rPr>
        <w:t>（</w:t>
      </w:r>
      <w:r>
        <w:rPr>
          <w:rFonts w:hint="eastAsia" w:ascii="仿宋" w:hAnsi="仿宋" w:eastAsia="仿宋" w:cs="Times New Roman"/>
          <w:color w:val="000000"/>
          <w:kern w:val="2"/>
          <w:sz w:val="24"/>
          <w:szCs w:val="24"/>
          <w:lang w:val="en-US" w:eastAsia="zh-CN" w:bidi="ar-SA"/>
        </w:rPr>
        <w:t>202</w:t>
      </w:r>
      <w:r>
        <w:rPr>
          <w:rFonts w:hint="default" w:ascii="仿宋" w:hAnsi="仿宋" w:eastAsia="仿宋" w:cs="Times New Roman"/>
          <w:color w:val="000000"/>
          <w:kern w:val="2"/>
          <w:sz w:val="24"/>
          <w:szCs w:val="24"/>
          <w:lang w:eastAsia="zh-CN" w:bidi="ar-SA"/>
        </w:rPr>
        <w:t>2</w:t>
      </w:r>
      <w:r>
        <w:rPr>
          <w:rFonts w:hint="eastAsia" w:ascii="仿宋" w:hAnsi="仿宋" w:eastAsia="仿宋" w:cs="Times New Roman"/>
          <w:color w:val="000000"/>
          <w:kern w:val="2"/>
          <w:sz w:val="24"/>
          <w:szCs w:val="24"/>
          <w:lang w:val="en-US" w:eastAsia="zh-CN" w:bidi="ar-SA"/>
        </w:rPr>
        <w:t>年</w:t>
      </w:r>
      <w:r>
        <w:rPr>
          <w:rFonts w:hint="default" w:ascii="仿宋" w:hAnsi="仿宋" w:eastAsia="仿宋" w:cs="Times New Roman"/>
          <w:color w:val="000000"/>
          <w:kern w:val="2"/>
          <w:sz w:val="24"/>
          <w:szCs w:val="24"/>
          <w:lang w:eastAsia="zh-CN" w:bidi="ar-SA"/>
        </w:rPr>
        <w:t>3</w:t>
      </w:r>
      <w:r>
        <w:rPr>
          <w:rFonts w:hint="eastAsia" w:ascii="仿宋" w:hAnsi="仿宋" w:eastAsia="仿宋" w:cs="Times New Roman"/>
          <w:color w:val="000000"/>
          <w:kern w:val="2"/>
          <w:sz w:val="24"/>
          <w:szCs w:val="24"/>
          <w:lang w:val="en-US" w:eastAsia="zh-CN" w:bidi="ar-SA"/>
        </w:rPr>
        <w:t>月</w:t>
      </w:r>
      <w:r>
        <w:rPr>
          <w:rFonts w:hint="default" w:ascii="仿宋" w:hAnsi="仿宋" w:eastAsia="仿宋" w:cs="Times New Roman"/>
          <w:color w:val="000000"/>
          <w:kern w:val="2"/>
          <w:sz w:val="24"/>
          <w:szCs w:val="24"/>
          <w:lang w:eastAsia="zh-CN" w:bidi="ar-SA"/>
        </w:rPr>
        <w:t>16</w:t>
      </w:r>
      <w:r>
        <w:rPr>
          <w:rFonts w:hint="eastAsia" w:ascii="仿宋" w:hAnsi="仿宋" w:eastAsia="仿宋" w:cs="Times New Roman"/>
          <w:color w:val="000000"/>
          <w:kern w:val="2"/>
          <w:sz w:val="24"/>
          <w:szCs w:val="24"/>
          <w:lang w:val="en-US" w:eastAsia="zh-CN" w:bidi="ar-SA"/>
        </w:rPr>
        <w:t>日</w:t>
      </w:r>
      <w:r>
        <w:rPr>
          <w:rFonts w:hint="default" w:ascii="仿宋" w:hAnsi="仿宋" w:eastAsia="仿宋" w:cs="Times New Roman"/>
          <w:color w:val="000000"/>
          <w:kern w:val="2"/>
          <w:sz w:val="24"/>
          <w:szCs w:val="24"/>
          <w:lang w:eastAsia="zh-CN" w:bidi="ar-SA"/>
        </w:rPr>
        <w:t>、2022</w:t>
      </w:r>
      <w:r>
        <w:rPr>
          <w:rFonts w:hint="eastAsia" w:ascii="仿宋" w:hAnsi="仿宋" w:eastAsia="仿宋" w:cs="Times New Roman"/>
          <w:color w:val="000000"/>
          <w:kern w:val="2"/>
          <w:sz w:val="24"/>
          <w:szCs w:val="24"/>
          <w:lang w:val="en-US" w:eastAsia="zh-Hans" w:bidi="ar-SA"/>
        </w:rPr>
        <w:t>年</w:t>
      </w:r>
      <w:r>
        <w:rPr>
          <w:rFonts w:hint="default" w:ascii="仿宋" w:hAnsi="仿宋" w:eastAsia="仿宋" w:cs="Times New Roman"/>
          <w:color w:val="000000"/>
          <w:kern w:val="2"/>
          <w:sz w:val="24"/>
          <w:szCs w:val="24"/>
          <w:lang w:eastAsia="zh-Hans" w:bidi="ar-SA"/>
        </w:rPr>
        <w:t>3</w:t>
      </w:r>
      <w:r>
        <w:rPr>
          <w:rFonts w:hint="eastAsia" w:ascii="仿宋" w:hAnsi="仿宋" w:eastAsia="仿宋" w:cs="Times New Roman"/>
          <w:color w:val="000000"/>
          <w:kern w:val="2"/>
          <w:sz w:val="24"/>
          <w:szCs w:val="24"/>
          <w:lang w:val="en-US" w:eastAsia="zh-Hans" w:bidi="ar-SA"/>
        </w:rPr>
        <w:t>月</w:t>
      </w:r>
      <w:r>
        <w:rPr>
          <w:rFonts w:hint="default" w:ascii="仿宋" w:hAnsi="仿宋" w:eastAsia="仿宋" w:cs="Times New Roman"/>
          <w:color w:val="000000"/>
          <w:kern w:val="2"/>
          <w:sz w:val="24"/>
          <w:szCs w:val="24"/>
          <w:lang w:eastAsia="zh-Hans" w:bidi="ar-SA"/>
        </w:rPr>
        <w:t>17</w:t>
      </w:r>
      <w:r>
        <w:rPr>
          <w:rFonts w:hint="eastAsia" w:ascii="仿宋" w:hAnsi="仿宋" w:eastAsia="仿宋" w:cs="Times New Roman"/>
          <w:color w:val="000000"/>
          <w:kern w:val="2"/>
          <w:sz w:val="24"/>
          <w:szCs w:val="24"/>
          <w:lang w:val="en-US" w:eastAsia="zh-Hans" w:bidi="ar-SA"/>
        </w:rPr>
        <w:t>日</w:t>
      </w:r>
      <w:r>
        <w:rPr>
          <w:rFonts w:hint="default" w:ascii="仿宋" w:hAnsi="仿宋" w:eastAsia="仿宋" w:cs="Times New Roman"/>
          <w:color w:val="000000"/>
          <w:kern w:val="2"/>
          <w:sz w:val="24"/>
          <w:szCs w:val="24"/>
          <w:lang w:eastAsia="zh-Hans" w:bidi="ar-SA"/>
        </w:rPr>
        <w:t>、</w:t>
      </w:r>
      <w:r>
        <w:rPr>
          <w:rFonts w:hint="eastAsia" w:ascii="仿宋" w:hAnsi="仿宋" w:eastAsia="仿宋" w:cs="Times New Roman"/>
          <w:color w:val="000000"/>
          <w:kern w:val="2"/>
          <w:sz w:val="24"/>
          <w:szCs w:val="24"/>
          <w:lang w:val="en-US" w:eastAsia="zh-CN" w:bidi="ar-SA"/>
        </w:rPr>
        <w:t>202</w:t>
      </w:r>
      <w:r>
        <w:rPr>
          <w:rFonts w:hint="default" w:ascii="仿宋" w:hAnsi="仿宋" w:eastAsia="仿宋" w:cs="Times New Roman"/>
          <w:color w:val="000000"/>
          <w:kern w:val="2"/>
          <w:sz w:val="24"/>
          <w:szCs w:val="24"/>
          <w:lang w:eastAsia="zh-CN" w:bidi="ar-SA"/>
        </w:rPr>
        <w:t>2</w:t>
      </w:r>
      <w:r>
        <w:rPr>
          <w:rFonts w:hint="eastAsia" w:ascii="仿宋" w:hAnsi="仿宋" w:eastAsia="仿宋" w:cs="Times New Roman"/>
          <w:color w:val="000000"/>
          <w:kern w:val="2"/>
          <w:sz w:val="24"/>
          <w:szCs w:val="24"/>
          <w:lang w:val="en-US" w:eastAsia="zh-CN" w:bidi="ar-SA"/>
        </w:rPr>
        <w:t>年</w:t>
      </w:r>
      <w:r>
        <w:rPr>
          <w:rFonts w:hint="default" w:ascii="仿宋" w:hAnsi="仿宋" w:eastAsia="仿宋" w:cs="Times New Roman"/>
          <w:color w:val="000000"/>
          <w:kern w:val="2"/>
          <w:sz w:val="24"/>
          <w:szCs w:val="24"/>
          <w:lang w:eastAsia="zh-CN" w:bidi="ar-SA"/>
        </w:rPr>
        <w:t>3</w:t>
      </w:r>
      <w:r>
        <w:rPr>
          <w:rFonts w:hint="eastAsia" w:ascii="仿宋" w:hAnsi="仿宋" w:eastAsia="仿宋" w:cs="Times New Roman"/>
          <w:color w:val="000000"/>
          <w:kern w:val="2"/>
          <w:sz w:val="24"/>
          <w:szCs w:val="24"/>
          <w:lang w:val="en-US" w:eastAsia="zh-CN" w:bidi="ar-SA"/>
        </w:rPr>
        <w:t>月</w:t>
      </w:r>
      <w:r>
        <w:rPr>
          <w:rFonts w:hint="default" w:ascii="仿宋" w:hAnsi="仿宋" w:eastAsia="仿宋" w:cs="Times New Roman"/>
          <w:color w:val="000000"/>
          <w:kern w:val="2"/>
          <w:sz w:val="24"/>
          <w:szCs w:val="24"/>
          <w:lang w:eastAsia="zh-CN" w:bidi="ar-SA"/>
        </w:rPr>
        <w:t>18</w:t>
      </w:r>
      <w:r>
        <w:rPr>
          <w:rFonts w:hint="eastAsia" w:ascii="仿宋" w:hAnsi="仿宋" w:eastAsia="仿宋" w:cs="Times New Roman"/>
          <w:color w:val="000000"/>
          <w:kern w:val="2"/>
          <w:sz w:val="24"/>
          <w:szCs w:val="24"/>
          <w:lang w:val="en-US" w:eastAsia="zh-CN" w:bidi="ar-SA"/>
        </w:rPr>
        <w:t>日</w:t>
      </w:r>
      <w:r>
        <w:rPr>
          <w:rFonts w:hint="default" w:ascii="仿宋" w:hAnsi="仿宋" w:eastAsia="仿宋" w:cs="Times New Roman"/>
          <w:color w:val="000000"/>
          <w:kern w:val="2"/>
          <w:sz w:val="24"/>
          <w:szCs w:val="24"/>
          <w:lang w:eastAsia="zh-CN" w:bidi="ar-SA"/>
        </w:rPr>
        <w:t>）</w:t>
      </w:r>
      <w:r>
        <w:rPr>
          <w:rFonts w:hint="eastAsia" w:ascii="仿宋" w:hAnsi="仿宋" w:eastAsia="仿宋" w:cs="Times New Roman"/>
          <w:color w:val="000000"/>
          <w:kern w:val="2"/>
          <w:sz w:val="24"/>
          <w:szCs w:val="24"/>
          <w:lang w:val="en-US" w:eastAsia="zh-CN" w:bidi="ar-SA"/>
        </w:rPr>
        <w:t>收盘价格涨幅偏离值累计超过30%，根据《深圳证券交易所创业板交易特别规定》的相关规定，属于股票交易异常波动的情况。</w:t>
      </w:r>
    </w:p>
    <w:p>
      <w:pPr>
        <w:autoSpaceDE/>
        <w:autoSpaceDN/>
        <w:spacing w:line="360" w:lineRule="auto"/>
        <w:ind w:firstLine="482" w:firstLineChars="200"/>
        <w:jc w:val="both"/>
        <w:rPr>
          <w:rFonts w:hint="eastAsia" w:ascii="仿宋" w:hAnsi="仿宋" w:eastAsia="仿宋" w:cs="Times New Roman"/>
          <w:b/>
          <w:color w:val="000000"/>
          <w:kern w:val="2"/>
          <w:sz w:val="24"/>
          <w:szCs w:val="24"/>
        </w:rPr>
      </w:pPr>
      <w:r>
        <w:rPr>
          <w:rFonts w:hint="eastAsia" w:ascii="仿宋" w:hAnsi="仿宋" w:eastAsia="仿宋" w:cs="Times New Roman"/>
          <w:b/>
          <w:color w:val="000000"/>
          <w:kern w:val="2"/>
          <w:sz w:val="24"/>
          <w:szCs w:val="24"/>
        </w:rPr>
        <w:t>二、公司关注并核实相关情况的说明</w:t>
      </w:r>
    </w:p>
    <w:p>
      <w:pPr>
        <w:autoSpaceDE/>
        <w:autoSpaceDN/>
        <w:spacing w:line="360" w:lineRule="auto"/>
        <w:ind w:firstLine="480" w:firstLineChars="200"/>
        <w:jc w:val="both"/>
        <w:rPr>
          <w:rFonts w:hint="eastAsia" w:ascii="仿宋" w:hAnsi="仿宋" w:eastAsia="仿宋" w:cs="Times New Roman"/>
          <w:color w:val="000000"/>
          <w:kern w:val="2"/>
          <w:sz w:val="24"/>
          <w:szCs w:val="24"/>
        </w:rPr>
      </w:pPr>
      <w:r>
        <w:rPr>
          <w:rFonts w:hint="eastAsia" w:ascii="仿宋" w:hAnsi="仿宋" w:eastAsia="仿宋" w:cs="Times New Roman"/>
          <w:color w:val="000000"/>
          <w:kern w:val="2"/>
          <w:sz w:val="24"/>
          <w:szCs w:val="24"/>
        </w:rPr>
        <w:t>针对公司股票交易异常波动，公司董事会对有关事项进行了核实，并就有关事项询问了公司控股股东、实际控制人及相关人员，现将有关核实情况说明如下：</w:t>
      </w:r>
    </w:p>
    <w:p>
      <w:pPr>
        <w:numPr>
          <w:ilvl w:val="0"/>
          <w:numId w:val="1"/>
        </w:numPr>
        <w:autoSpaceDE/>
        <w:autoSpaceDN/>
        <w:spacing w:line="360" w:lineRule="auto"/>
        <w:ind w:firstLine="480" w:firstLineChars="200"/>
        <w:jc w:val="both"/>
        <w:rPr>
          <w:rFonts w:hint="eastAsia" w:ascii="仿宋" w:hAnsi="仿宋" w:eastAsia="仿宋" w:cs="Times New Roman"/>
          <w:color w:val="000000"/>
          <w:kern w:val="2"/>
          <w:sz w:val="24"/>
          <w:szCs w:val="24"/>
        </w:rPr>
      </w:pPr>
      <w:r>
        <w:rPr>
          <w:rFonts w:hint="eastAsia" w:ascii="仿宋" w:hAnsi="仿宋" w:eastAsia="仿宋" w:cs="Times New Roman"/>
          <w:color w:val="000000"/>
          <w:kern w:val="2"/>
          <w:sz w:val="24"/>
          <w:szCs w:val="24"/>
        </w:rPr>
        <w:t>公司未发现前期披露的信息存在需要更正、补充之处；</w:t>
      </w:r>
    </w:p>
    <w:p>
      <w:pPr>
        <w:numPr>
          <w:ilvl w:val="0"/>
          <w:numId w:val="1"/>
        </w:numPr>
        <w:autoSpaceDE/>
        <w:autoSpaceDN/>
        <w:spacing w:line="360" w:lineRule="auto"/>
        <w:ind w:firstLine="480" w:firstLineChars="200"/>
        <w:jc w:val="both"/>
        <w:rPr>
          <w:rFonts w:hint="eastAsia" w:ascii="仿宋" w:hAnsi="仿宋" w:eastAsia="仿宋" w:cs="Times New Roman"/>
          <w:color w:val="000000"/>
          <w:kern w:val="2"/>
          <w:sz w:val="24"/>
          <w:szCs w:val="24"/>
        </w:rPr>
      </w:pPr>
      <w:r>
        <w:rPr>
          <w:rFonts w:hint="eastAsia" w:ascii="仿宋" w:hAnsi="仿宋" w:eastAsia="仿宋" w:cs="Times New Roman"/>
          <w:color w:val="000000"/>
          <w:kern w:val="2"/>
          <w:sz w:val="24"/>
          <w:szCs w:val="24"/>
        </w:rPr>
        <w:t>公司未发现近期公共传媒报道了可能或已经对本公司股票交易价格产生较大影响的未公开重大信息；</w:t>
      </w:r>
    </w:p>
    <w:p>
      <w:pPr>
        <w:numPr>
          <w:ilvl w:val="0"/>
          <w:numId w:val="1"/>
        </w:numPr>
        <w:autoSpaceDE/>
        <w:autoSpaceDN/>
        <w:spacing w:line="360" w:lineRule="auto"/>
        <w:ind w:firstLine="480" w:firstLineChars="200"/>
        <w:jc w:val="both"/>
        <w:rPr>
          <w:rFonts w:hint="eastAsia" w:ascii="仿宋" w:hAnsi="仿宋" w:eastAsia="仿宋" w:cs="Times New Roman"/>
          <w:color w:val="000000"/>
          <w:kern w:val="2"/>
          <w:sz w:val="24"/>
          <w:szCs w:val="24"/>
        </w:rPr>
      </w:pPr>
      <w:r>
        <w:rPr>
          <w:rFonts w:hint="eastAsia" w:ascii="仿宋" w:hAnsi="仿宋" w:eastAsia="仿宋" w:cs="Times New Roman"/>
          <w:color w:val="000000"/>
          <w:kern w:val="2"/>
          <w:sz w:val="24"/>
          <w:szCs w:val="24"/>
        </w:rPr>
        <w:t>公司</w:t>
      </w:r>
      <w:r>
        <w:rPr>
          <w:rFonts w:hint="eastAsia" w:ascii="仿宋" w:hAnsi="仿宋" w:eastAsia="仿宋" w:cs="Times New Roman"/>
          <w:color w:val="000000"/>
          <w:kern w:val="2"/>
          <w:sz w:val="24"/>
          <w:szCs w:val="24"/>
          <w:lang w:eastAsia="zh-CN"/>
        </w:rPr>
        <w:t>目前生产经</w:t>
      </w:r>
      <w:r>
        <w:rPr>
          <w:rFonts w:hint="eastAsia" w:ascii="仿宋" w:hAnsi="仿宋" w:eastAsia="仿宋" w:cs="Times New Roman"/>
          <w:color w:val="000000"/>
          <w:kern w:val="2"/>
          <w:sz w:val="24"/>
          <w:szCs w:val="24"/>
        </w:rPr>
        <w:t>营情况及内外部经营环境未发生重大变化；</w:t>
      </w:r>
    </w:p>
    <w:p>
      <w:pPr>
        <w:numPr>
          <w:ilvl w:val="0"/>
          <w:numId w:val="1"/>
        </w:numPr>
        <w:autoSpaceDE/>
        <w:autoSpaceDN/>
        <w:spacing w:line="360" w:lineRule="auto"/>
        <w:ind w:firstLine="480" w:firstLineChars="200"/>
        <w:jc w:val="both"/>
        <w:rPr>
          <w:rFonts w:hint="eastAsia" w:ascii="仿宋" w:hAnsi="仿宋" w:eastAsia="仿宋" w:cs="Times New Roman"/>
          <w:color w:val="000000"/>
          <w:kern w:val="2"/>
          <w:sz w:val="24"/>
          <w:szCs w:val="24"/>
        </w:rPr>
      </w:pPr>
      <w:r>
        <w:rPr>
          <w:rFonts w:hint="eastAsia" w:ascii="仿宋" w:hAnsi="仿宋" w:eastAsia="仿宋" w:cs="Times New Roman"/>
          <w:color w:val="000000"/>
          <w:kern w:val="2"/>
          <w:sz w:val="24"/>
          <w:szCs w:val="24"/>
        </w:rPr>
        <w:t>经查询，公司、控股股东和实际控制人不存在关于本公司的应披露而未披露的重大事项，也不存在处于筹划阶段的重大事项。</w:t>
      </w:r>
    </w:p>
    <w:p>
      <w:pPr>
        <w:numPr>
          <w:ilvl w:val="0"/>
          <w:numId w:val="1"/>
        </w:numPr>
        <w:autoSpaceDE/>
        <w:autoSpaceDN/>
        <w:spacing w:line="360" w:lineRule="auto"/>
        <w:ind w:firstLine="480" w:firstLineChars="200"/>
        <w:jc w:val="both"/>
        <w:rPr>
          <w:rFonts w:hint="eastAsia" w:ascii="仿宋" w:hAnsi="仿宋" w:eastAsia="仿宋" w:cs="Times New Roman"/>
          <w:color w:val="000000"/>
          <w:kern w:val="2"/>
          <w:sz w:val="24"/>
          <w:szCs w:val="24"/>
        </w:rPr>
      </w:pPr>
      <w:r>
        <w:rPr>
          <w:rFonts w:hint="eastAsia" w:ascii="仿宋" w:hAnsi="仿宋" w:eastAsia="仿宋" w:cs="Times New Roman"/>
          <w:color w:val="000000"/>
          <w:kern w:val="2"/>
          <w:sz w:val="24"/>
          <w:szCs w:val="24"/>
        </w:rPr>
        <w:t>经查询，公司控股股东、实际控制人在本次股票异常波动期间不存在买卖公司股票的</w:t>
      </w:r>
      <w:r>
        <w:rPr>
          <w:rFonts w:hint="eastAsia" w:ascii="仿宋" w:hAnsi="仿宋" w:eastAsia="仿宋" w:cs="Times New Roman"/>
          <w:color w:val="000000"/>
          <w:kern w:val="2"/>
          <w:sz w:val="24"/>
          <w:szCs w:val="24"/>
          <w:lang w:eastAsia="zh-CN"/>
        </w:rPr>
        <w:t>情形。</w:t>
      </w:r>
    </w:p>
    <w:p>
      <w:pPr>
        <w:autoSpaceDE/>
        <w:autoSpaceDN/>
        <w:spacing w:line="360" w:lineRule="auto"/>
        <w:ind w:firstLine="482" w:firstLineChars="200"/>
        <w:jc w:val="both"/>
        <w:rPr>
          <w:rFonts w:ascii="仿宋" w:hAnsi="仿宋" w:eastAsia="仿宋" w:cs="Times New Roman"/>
          <w:b/>
          <w:color w:val="000000"/>
          <w:kern w:val="2"/>
          <w:sz w:val="24"/>
          <w:szCs w:val="24"/>
        </w:rPr>
      </w:pPr>
      <w:r>
        <w:rPr>
          <w:rFonts w:hint="eastAsia" w:ascii="仿宋" w:hAnsi="仿宋" w:eastAsia="仿宋" w:cs="Times New Roman"/>
          <w:b/>
          <w:color w:val="000000"/>
          <w:kern w:val="2"/>
          <w:sz w:val="24"/>
          <w:szCs w:val="24"/>
        </w:rPr>
        <w:t>三、是否存在应披露而未披露信息的说明</w:t>
      </w:r>
    </w:p>
    <w:p>
      <w:pPr>
        <w:autoSpaceDE/>
        <w:autoSpaceDN/>
        <w:spacing w:line="360" w:lineRule="auto"/>
        <w:ind w:firstLine="480" w:firstLineChars="200"/>
        <w:jc w:val="both"/>
        <w:rPr>
          <w:rFonts w:hint="eastAsia" w:ascii="仿宋" w:hAnsi="仿宋" w:eastAsia="仿宋" w:cs="Times New Roman"/>
          <w:b/>
          <w:color w:val="000000"/>
          <w:kern w:val="2"/>
          <w:sz w:val="24"/>
          <w:szCs w:val="24"/>
          <w:lang w:eastAsia="zh-CN"/>
        </w:rPr>
      </w:pPr>
      <w:r>
        <w:rPr>
          <w:rFonts w:hint="eastAsia" w:ascii="仿宋" w:hAnsi="仿宋" w:eastAsia="仿宋" w:cs="Times New Roman"/>
          <w:color w:val="000000"/>
          <w:kern w:val="2"/>
          <w:sz w:val="24"/>
          <w:szCs w:val="24"/>
          <w:lang w:val="en-US" w:eastAsia="zh-CN" w:bidi="ar-SA"/>
        </w:rPr>
        <w:t>公司董事会确认，除公司已披露的信息外，公司目前没有任何根据《深圳证券交易所创业板股票上市规则》等有关规定应予以披露而未披露的事项或与该事项有关的筹划、商谈、意向、协议等；董事会也未获悉公司有根据《深圳证券交易所创业板股票上市规则》等有关规定应予以披露而未披露的、对公司股票交易价格产生较大影响的信息。</w:t>
      </w:r>
    </w:p>
    <w:p>
      <w:pPr>
        <w:autoSpaceDE/>
        <w:autoSpaceDN/>
        <w:spacing w:line="360" w:lineRule="auto"/>
        <w:ind w:firstLine="482" w:firstLineChars="200"/>
        <w:jc w:val="both"/>
        <w:rPr>
          <w:rFonts w:hint="eastAsia" w:ascii="仿宋" w:hAnsi="仿宋" w:eastAsia="仿宋" w:cs="Times New Roman"/>
          <w:b/>
          <w:color w:val="000000"/>
          <w:kern w:val="2"/>
          <w:sz w:val="24"/>
          <w:szCs w:val="24"/>
        </w:rPr>
      </w:pPr>
      <w:r>
        <w:rPr>
          <w:rFonts w:hint="eastAsia" w:ascii="仿宋" w:hAnsi="仿宋" w:eastAsia="仿宋" w:cs="Times New Roman"/>
          <w:b/>
          <w:color w:val="000000"/>
          <w:kern w:val="2"/>
          <w:sz w:val="24"/>
          <w:szCs w:val="24"/>
          <w:lang w:eastAsia="zh-CN"/>
        </w:rPr>
        <w:t>四、</w:t>
      </w:r>
      <w:r>
        <w:rPr>
          <w:rFonts w:hint="eastAsia" w:ascii="仿宋" w:hAnsi="仿宋" w:eastAsia="仿宋" w:cs="Times New Roman"/>
          <w:b/>
          <w:color w:val="000000"/>
          <w:kern w:val="2"/>
          <w:sz w:val="24"/>
          <w:szCs w:val="24"/>
        </w:rPr>
        <w:t>风险提示</w:t>
      </w:r>
    </w:p>
    <w:p>
      <w:pPr>
        <w:numPr>
          <w:ilvl w:val="0"/>
          <w:numId w:val="0"/>
        </w:numPr>
        <w:autoSpaceDE/>
        <w:autoSpaceDN/>
        <w:spacing w:line="360" w:lineRule="auto"/>
        <w:ind w:firstLine="480" w:firstLineChars="200"/>
        <w:jc w:val="both"/>
        <w:rPr>
          <w:rFonts w:hint="eastAsia" w:ascii="仿宋" w:hAnsi="仿宋" w:eastAsia="仿宋" w:cs="Times New Roman"/>
          <w:color w:val="000000"/>
          <w:kern w:val="2"/>
          <w:sz w:val="24"/>
          <w:szCs w:val="24"/>
        </w:rPr>
      </w:pPr>
      <w:r>
        <w:rPr>
          <w:rFonts w:hint="eastAsia" w:ascii="仿宋" w:hAnsi="仿宋" w:eastAsia="仿宋" w:cs="Times New Roman"/>
          <w:color w:val="000000"/>
          <w:kern w:val="2"/>
          <w:sz w:val="24"/>
          <w:szCs w:val="24"/>
        </w:rPr>
        <w:t>1、经自查，公司不存在违反信息公平披露的情形。公司将严格按照有关法律法规的规定和要求，认真履行信息披露义务，及时做好信息披露工作。</w:t>
      </w:r>
    </w:p>
    <w:p>
      <w:pPr>
        <w:numPr>
          <w:ilvl w:val="0"/>
          <w:numId w:val="0"/>
        </w:numPr>
        <w:autoSpaceDE/>
        <w:autoSpaceDN/>
        <w:spacing w:line="360" w:lineRule="auto"/>
        <w:ind w:firstLine="480" w:firstLineChars="200"/>
        <w:jc w:val="both"/>
        <w:rPr>
          <w:rFonts w:hint="eastAsia" w:ascii="仿宋" w:hAnsi="仿宋" w:eastAsia="仿宋" w:cs="Times New Roman"/>
          <w:color w:val="000000"/>
          <w:kern w:val="2"/>
          <w:sz w:val="24"/>
          <w:szCs w:val="24"/>
        </w:rPr>
      </w:pPr>
      <w:r>
        <w:rPr>
          <w:rFonts w:hint="eastAsia" w:ascii="仿宋" w:hAnsi="仿宋" w:eastAsia="仿宋" w:cs="Times New Roman"/>
          <w:color w:val="000000"/>
          <w:kern w:val="2"/>
          <w:sz w:val="24"/>
          <w:szCs w:val="24"/>
        </w:rPr>
        <w:t>2、公司郑重提醒广大投资者：巨潮资讯网</w:t>
      </w:r>
      <w:r>
        <w:rPr>
          <w:rFonts w:hint="default" w:ascii="Times New Roman Regular" w:hAnsi="Times New Roman Regular" w:eastAsia="仿宋" w:cs="Times New Roman Regular"/>
          <w:color w:val="000000"/>
          <w:kern w:val="2"/>
          <w:sz w:val="24"/>
          <w:szCs w:val="24"/>
        </w:rPr>
        <w:t>（http://www.cninfo.com.cn ）</w:t>
      </w:r>
      <w:r>
        <w:rPr>
          <w:rFonts w:hint="eastAsia" w:ascii="仿宋" w:hAnsi="仿宋" w:eastAsia="仿宋" w:cs="Times New Roman"/>
          <w:color w:val="000000"/>
          <w:kern w:val="2"/>
          <w:sz w:val="24"/>
          <w:szCs w:val="24"/>
        </w:rPr>
        <w:t>和《证券时报》、</w:t>
      </w:r>
      <w:r>
        <w:rPr>
          <w:rFonts w:hint="eastAsia" w:ascii="仿宋" w:hAnsi="仿宋" w:eastAsia="仿宋" w:cs="Times New Roman"/>
          <w:color w:val="000000"/>
          <w:kern w:val="2"/>
          <w:sz w:val="24"/>
          <w:szCs w:val="24"/>
          <w:lang w:eastAsia="zh-CN"/>
        </w:rPr>
        <w:t>《证券日报》、</w:t>
      </w:r>
      <w:r>
        <w:rPr>
          <w:rFonts w:hint="eastAsia" w:ascii="仿宋" w:hAnsi="仿宋" w:eastAsia="仿宋" w:cs="Times New Roman"/>
          <w:color w:val="000000"/>
          <w:kern w:val="2"/>
          <w:sz w:val="24"/>
          <w:szCs w:val="24"/>
        </w:rPr>
        <w:t>《中国证券报》、《上海证券报》为公司选定的信息披露媒体，公司所有信息均以上述指定媒体刊登的信息为准。敬请广大投资者理性投资，注意风险！</w:t>
      </w:r>
    </w:p>
    <w:p>
      <w:pPr>
        <w:tabs>
          <w:tab w:val="left" w:pos="1260"/>
        </w:tabs>
        <w:adjustRightInd w:val="0"/>
        <w:spacing w:line="360" w:lineRule="auto"/>
        <w:ind w:firstLine="480" w:firstLineChars="200"/>
        <w:jc w:val="both"/>
        <w:rPr>
          <w:rFonts w:hint="eastAsia" w:ascii="仿宋" w:hAnsi="仿宋" w:eastAsia="仿宋" w:cs="Times New Roman"/>
          <w:color w:val="000000"/>
          <w:kern w:val="2"/>
          <w:sz w:val="24"/>
          <w:szCs w:val="24"/>
        </w:rPr>
      </w:pPr>
      <w:r>
        <w:rPr>
          <w:rFonts w:hint="eastAsia" w:ascii="仿宋" w:hAnsi="仿宋" w:eastAsia="仿宋" w:cs="Times New Roman"/>
          <w:color w:val="000000"/>
          <w:kern w:val="2"/>
          <w:sz w:val="24"/>
          <w:szCs w:val="24"/>
        </w:rPr>
        <w:t>特此公告。</w:t>
      </w:r>
      <w:bookmarkStart w:id="0" w:name="_GoBack"/>
      <w:bookmarkEnd w:id="0"/>
    </w:p>
    <w:p>
      <w:pPr>
        <w:tabs>
          <w:tab w:val="left" w:pos="1260"/>
        </w:tabs>
        <w:adjustRightInd w:val="0"/>
        <w:spacing w:line="360" w:lineRule="auto"/>
        <w:ind w:firstLine="480" w:firstLineChars="200"/>
        <w:jc w:val="both"/>
        <w:rPr>
          <w:rFonts w:hint="eastAsia" w:ascii="仿宋" w:hAnsi="仿宋" w:eastAsia="仿宋" w:cs="Times New Roman"/>
          <w:color w:val="000000"/>
          <w:kern w:val="2"/>
          <w:sz w:val="24"/>
          <w:szCs w:val="24"/>
        </w:rPr>
      </w:pPr>
    </w:p>
    <w:p>
      <w:pPr>
        <w:autoSpaceDE/>
        <w:autoSpaceDN/>
        <w:adjustRightInd w:val="0"/>
        <w:spacing w:line="360" w:lineRule="auto"/>
        <w:jc w:val="right"/>
        <w:rPr>
          <w:rFonts w:ascii="仿宋" w:hAnsi="仿宋" w:eastAsia="仿宋" w:cs="Times New Roman"/>
          <w:color w:val="000000"/>
          <w:kern w:val="2"/>
          <w:sz w:val="24"/>
          <w:szCs w:val="24"/>
        </w:rPr>
      </w:pPr>
      <w:r>
        <w:rPr>
          <w:rFonts w:hint="eastAsia" w:ascii="仿宋" w:hAnsi="仿宋" w:eastAsia="仿宋" w:cs="Times New Roman"/>
          <w:color w:val="000000"/>
          <w:kern w:val="2"/>
          <w:sz w:val="24"/>
          <w:szCs w:val="24"/>
        </w:rPr>
        <w:t>江苏</w:t>
      </w:r>
      <w:r>
        <w:rPr>
          <w:rFonts w:ascii="仿宋" w:hAnsi="仿宋" w:eastAsia="仿宋" w:cs="Times New Roman"/>
          <w:color w:val="000000"/>
          <w:kern w:val="2"/>
          <w:sz w:val="24"/>
          <w:szCs w:val="24"/>
        </w:rPr>
        <w:t>晶雪节能科技股份有限公司董事会</w:t>
      </w:r>
    </w:p>
    <w:p>
      <w:pPr>
        <w:autoSpaceDE/>
        <w:autoSpaceDN/>
        <w:adjustRightInd w:val="0"/>
        <w:spacing w:line="360" w:lineRule="auto"/>
        <w:jc w:val="right"/>
        <w:rPr>
          <w:rFonts w:ascii="仿宋" w:hAnsi="仿宋" w:eastAsia="仿宋" w:cs="Times New Roman"/>
          <w:color w:val="000000"/>
          <w:kern w:val="2"/>
          <w:sz w:val="24"/>
          <w:szCs w:val="24"/>
        </w:rPr>
      </w:pPr>
      <w:r>
        <w:rPr>
          <w:rFonts w:ascii="仿宋" w:hAnsi="仿宋" w:eastAsia="仿宋" w:cs="Times New Roman"/>
          <w:color w:val="000000"/>
          <w:kern w:val="2"/>
          <w:sz w:val="24"/>
          <w:szCs w:val="24"/>
        </w:rPr>
        <w:t>2022年3月18日</w:t>
      </w:r>
    </w:p>
    <w:sectPr>
      <w:pgSz w:w="1191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Traditional Arabic">
    <w:altName w:val="苹方-简"/>
    <w:panose1 w:val="02020603050405020304"/>
    <w:charset w:val="00"/>
    <w:family w:val="auto"/>
    <w:pitch w:val="default"/>
    <w:sig w:usb0="00000000" w:usb1="00000000" w:usb2="00000008" w:usb3="00000000" w:csb0="00000041" w:csb1="20080000"/>
  </w:font>
  <w:font w:name="Arial Unicode MS">
    <w:panose1 w:val="020B0604020202020204"/>
    <w:charset w:val="86"/>
    <w:family w:val="auto"/>
    <w:pitch w:val="default"/>
    <w:sig w:usb0="FFFFFFFF" w:usb1="E9FFFFFF" w:usb2="0000003F" w:usb3="00000000" w:csb0="603F01FF" w:csb1="FFFF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微软雅黑">
    <w:altName w:val="汉仪旗黑"/>
    <w:panose1 w:val="020B0503020204020204"/>
    <w:charset w:val="86"/>
    <w:family w:val="auto"/>
    <w:pitch w:val="default"/>
    <w:sig w:usb0="00000000" w:usb1="00000000" w:usb2="00000016" w:usb3="00000000" w:csb0="0004001F" w:csb1="00000000"/>
  </w:font>
  <w:font w:name="Tahoma">
    <w:panose1 w:val="020B0804030504040204"/>
    <w:charset w:val="00"/>
    <w:family w:val="auto"/>
    <w:pitch w:val="default"/>
    <w:sig w:usb0="E1002AFF" w:usb1="C000605B" w:usb2="00000029" w:usb3="00000000" w:csb0="200101FF" w:csb1="20280000"/>
  </w:font>
  <w:font w:name="方正仿宋_GBK">
    <w:panose1 w:val="02000000000000000000"/>
    <w:charset w:val="86"/>
    <w:family w:val="auto"/>
    <w:pitch w:val="default"/>
    <w:sig w:usb0="A00002BF" w:usb1="38CF7CFA" w:usb2="00082016" w:usb3="00000000" w:csb0="00040001" w:csb1="00000000"/>
  </w:font>
  <w:font w:name="汉仪楷体KW">
    <w:panose1 w:val="00020600040101010101"/>
    <w:charset w:val="86"/>
    <w:family w:val="auto"/>
    <w:pitch w:val="default"/>
    <w:sig w:usb0="A00002BF" w:usb1="18EF7CFA" w:usb2="00000016" w:usb3="00000000" w:csb0="00040000" w:csb1="00000000"/>
  </w:font>
  <w:font w:name="PingFangHK">
    <w:altName w:val="苹方-简"/>
    <w:panose1 w:val="00000000000000000000"/>
    <w:charset w:val="00"/>
    <w:family w:val="auto"/>
    <w:pitch w:val="default"/>
    <w:sig w:usb0="00000000" w:usb1="00000000" w:usb2="0000000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旗黑">
    <w:panose1 w:val="00020600040101010101"/>
    <w:charset w:val="86"/>
    <w:family w:val="auto"/>
    <w:pitch w:val="default"/>
    <w:sig w:usb0="A00002BF" w:usb1="1ACF7CFA" w:usb2="00000016" w:usb3="00000000" w:csb0="0004009F" w:csb1="DFD70000"/>
  </w:font>
  <w:font w:name="仿宋">
    <w:altName w:val="方正仿宋_GBK"/>
    <w:panose1 w:val="00000000000000000000"/>
    <w:charset w:val="00"/>
    <w:family w:val="auto"/>
    <w:pitch w:val="default"/>
    <w:sig w:usb0="00000000" w:usb1="00000000" w:usb2="00000000" w:usb3="00000000" w:csb0="00000000" w:csb1="00000000"/>
  </w:font>
  <w:font w:name="Apple Braille Outline 6 Dot">
    <w:panose1 w:val="05000000000000000000"/>
    <w:charset w:val="00"/>
    <w:family w:val="auto"/>
    <w:pitch w:val="default"/>
    <w:sig w:usb0="80000040" w:usb1="00000000" w:usb2="00040000" w:usb3="00000000" w:csb0="00000000" w:csb1="00000000"/>
  </w:font>
  <w:font w:name="Apple Chancery">
    <w:panose1 w:val="03020702040506060504"/>
    <w:charset w:val="00"/>
    <w:family w:val="auto"/>
    <w:pitch w:val="default"/>
    <w:sig w:usb0="80000067" w:usb1="00000003" w:usb2="00000000" w:usb3="00000000" w:csb0="200001F3" w:csb1="CDFC0000"/>
  </w:font>
  <w:font w:name="Webdings">
    <w:panose1 w:val="05030102010509060703"/>
    <w:charset w:val="00"/>
    <w:family w:val="auto"/>
    <w:pitch w:val="default"/>
    <w:sig w:usb0="00000000" w:usb1="00000000" w:usb2="00000000" w:usb3="00000000" w:csb0="80000000" w:csb1="00000000"/>
  </w:font>
  <w:font w:name="Geeza Pro Regular">
    <w:panose1 w:val="02000400000000000000"/>
    <w:charset w:val="00"/>
    <w:family w:val="auto"/>
    <w:pitch w:val="default"/>
    <w:sig w:usb0="80002000" w:usb1="80000000" w:usb2="00000008" w:usb3="00000000" w:csb0="00000001" w:csb1="00000000"/>
  </w:font>
  <w:font w:name="宋体-简">
    <w:panose1 w:val="02010800040101010101"/>
    <w:charset w:val="86"/>
    <w:family w:val="auto"/>
    <w:pitch w:val="default"/>
    <w:sig w:usb0="00000001" w:usb1="080F0000" w:usb2="00000000" w:usb3="00000000" w:csb0="00040000" w:csb1="00000000"/>
  </w:font>
  <w:font w:name="Times New Roman Regular">
    <w:panose1 w:val="02020603050405020304"/>
    <w:charset w:val="00"/>
    <w:family w:val="auto"/>
    <w:pitch w:val="default"/>
    <w:sig w:usb0="E0002AEF" w:usb1="C0007841"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72C4BC7"/>
    <w:multiLevelType w:val="singleLevel"/>
    <w:tmpl w:val="E72C4BC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2FF"/>
    <w:rsid w:val="00023643"/>
    <w:rsid w:val="00062BBF"/>
    <w:rsid w:val="00096A5C"/>
    <w:rsid w:val="000E1652"/>
    <w:rsid w:val="001049E5"/>
    <w:rsid w:val="001363EF"/>
    <w:rsid w:val="00184DB0"/>
    <w:rsid w:val="00225739"/>
    <w:rsid w:val="00237A07"/>
    <w:rsid w:val="002A485E"/>
    <w:rsid w:val="002A4AAD"/>
    <w:rsid w:val="002A6B05"/>
    <w:rsid w:val="00382DED"/>
    <w:rsid w:val="003D395A"/>
    <w:rsid w:val="003E32FF"/>
    <w:rsid w:val="00430F56"/>
    <w:rsid w:val="004311B7"/>
    <w:rsid w:val="004504E4"/>
    <w:rsid w:val="00460944"/>
    <w:rsid w:val="00472BCE"/>
    <w:rsid w:val="004E35DF"/>
    <w:rsid w:val="004E7B15"/>
    <w:rsid w:val="00530415"/>
    <w:rsid w:val="00552FB4"/>
    <w:rsid w:val="005D7C49"/>
    <w:rsid w:val="00606B65"/>
    <w:rsid w:val="00626BE5"/>
    <w:rsid w:val="006C69EF"/>
    <w:rsid w:val="007028F2"/>
    <w:rsid w:val="00737666"/>
    <w:rsid w:val="00746363"/>
    <w:rsid w:val="0077396C"/>
    <w:rsid w:val="007B4D38"/>
    <w:rsid w:val="007E6F4A"/>
    <w:rsid w:val="00832CCC"/>
    <w:rsid w:val="008523B3"/>
    <w:rsid w:val="008645B8"/>
    <w:rsid w:val="0087797E"/>
    <w:rsid w:val="008A38E7"/>
    <w:rsid w:val="008F40EA"/>
    <w:rsid w:val="00907AA6"/>
    <w:rsid w:val="00911673"/>
    <w:rsid w:val="0097125C"/>
    <w:rsid w:val="009A14D5"/>
    <w:rsid w:val="009C21AD"/>
    <w:rsid w:val="009F40C1"/>
    <w:rsid w:val="00A00670"/>
    <w:rsid w:val="00A0508E"/>
    <w:rsid w:val="00A52233"/>
    <w:rsid w:val="00A92610"/>
    <w:rsid w:val="00AD3B7B"/>
    <w:rsid w:val="00B36536"/>
    <w:rsid w:val="00B73544"/>
    <w:rsid w:val="00B92E46"/>
    <w:rsid w:val="00B95388"/>
    <w:rsid w:val="00BB3601"/>
    <w:rsid w:val="00BF3280"/>
    <w:rsid w:val="00C22ED4"/>
    <w:rsid w:val="00C4621C"/>
    <w:rsid w:val="00C65293"/>
    <w:rsid w:val="00C841C2"/>
    <w:rsid w:val="00C97169"/>
    <w:rsid w:val="00CA4619"/>
    <w:rsid w:val="00CB5B68"/>
    <w:rsid w:val="00CF2B22"/>
    <w:rsid w:val="00D01100"/>
    <w:rsid w:val="00DF1A41"/>
    <w:rsid w:val="00E01E5A"/>
    <w:rsid w:val="00E824B9"/>
    <w:rsid w:val="00EA3171"/>
    <w:rsid w:val="00EB0ECD"/>
    <w:rsid w:val="00F45CA3"/>
    <w:rsid w:val="00F558CE"/>
    <w:rsid w:val="00FD1935"/>
    <w:rsid w:val="00FE1B81"/>
    <w:rsid w:val="00FE6836"/>
    <w:rsid w:val="0CAB70F6"/>
    <w:rsid w:val="0DD97762"/>
    <w:rsid w:val="12A27958"/>
    <w:rsid w:val="146E6FC3"/>
    <w:rsid w:val="164E6DCF"/>
    <w:rsid w:val="165602F2"/>
    <w:rsid w:val="17760AF2"/>
    <w:rsid w:val="24C7636A"/>
    <w:rsid w:val="27BBF360"/>
    <w:rsid w:val="2CD43785"/>
    <w:rsid w:val="2DA63EBB"/>
    <w:rsid w:val="37547412"/>
    <w:rsid w:val="39917020"/>
    <w:rsid w:val="3F9905F8"/>
    <w:rsid w:val="417F4AF0"/>
    <w:rsid w:val="42C81CE0"/>
    <w:rsid w:val="46F3394C"/>
    <w:rsid w:val="48CB7A71"/>
    <w:rsid w:val="4A270650"/>
    <w:rsid w:val="4DD033E3"/>
    <w:rsid w:val="5DA230D6"/>
    <w:rsid w:val="6BEF36BF"/>
    <w:rsid w:val="740021FA"/>
    <w:rsid w:val="7BC12651"/>
    <w:rsid w:val="E6FF4CF3"/>
    <w:rsid w:val="EBB58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zh-CN" w:bidi="ar-SA"/>
    </w:rPr>
  </w:style>
  <w:style w:type="character" w:default="1" w:styleId="10">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annotation subject"/>
    <w:basedOn w:val="3"/>
    <w:next w:val="3"/>
    <w:link w:val="22"/>
    <w:unhideWhenUsed/>
    <w:qFormat/>
    <w:uiPriority w:val="99"/>
    <w:rPr>
      <w:b/>
      <w:bCs/>
    </w:rPr>
  </w:style>
  <w:style w:type="paragraph" w:styleId="3">
    <w:name w:val="annotation text"/>
    <w:basedOn w:val="1"/>
    <w:link w:val="21"/>
    <w:unhideWhenUsed/>
    <w:qFormat/>
    <w:uiPriority w:val="99"/>
  </w:style>
  <w:style w:type="paragraph" w:styleId="4">
    <w:name w:val="Body Text"/>
    <w:basedOn w:val="1"/>
    <w:qFormat/>
    <w:uiPriority w:val="1"/>
    <w:rPr>
      <w:sz w:val="24"/>
      <w:szCs w:val="24"/>
    </w:rPr>
  </w:style>
  <w:style w:type="paragraph" w:styleId="5">
    <w:name w:val="Balloon Text"/>
    <w:basedOn w:val="1"/>
    <w:link w:val="20"/>
    <w:unhideWhenUsed/>
    <w:qFormat/>
    <w:uiPriority w:val="99"/>
    <w:rPr>
      <w:sz w:val="18"/>
      <w:szCs w:val="18"/>
    </w:rPr>
  </w:style>
  <w:style w:type="paragraph" w:styleId="6">
    <w:name w:val="footer"/>
    <w:basedOn w:val="1"/>
    <w:link w:val="19"/>
    <w:unhideWhenUsed/>
    <w:qFormat/>
    <w:uiPriority w:val="99"/>
    <w:pPr>
      <w:tabs>
        <w:tab w:val="center" w:pos="4153"/>
        <w:tab w:val="right" w:pos="8306"/>
      </w:tabs>
      <w:snapToGrid w:val="0"/>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autoSpaceDE/>
      <w:autoSpaceDN/>
      <w:spacing w:before="100" w:beforeAutospacing="1" w:after="100" w:afterAutospacing="1"/>
    </w:pPr>
    <w:rPr>
      <w:color w:val="000000"/>
      <w:sz w:val="24"/>
      <w:szCs w:val="24"/>
    </w:rPr>
  </w:style>
  <w:style w:type="paragraph" w:styleId="9">
    <w:name w:val="Title"/>
    <w:basedOn w:val="1"/>
    <w:qFormat/>
    <w:uiPriority w:val="1"/>
    <w:pPr>
      <w:spacing w:before="232"/>
      <w:ind w:right="93"/>
      <w:jc w:val="center"/>
    </w:pPr>
    <w:rPr>
      <w:b/>
      <w:bCs/>
      <w:sz w:val="32"/>
      <w:szCs w:val="32"/>
    </w:rPr>
  </w:style>
  <w:style w:type="character" w:styleId="11">
    <w:name w:val="Hyperlink"/>
    <w:basedOn w:val="10"/>
    <w:unhideWhenUsed/>
    <w:qFormat/>
    <w:uiPriority w:val="99"/>
    <w:rPr>
      <w:color w:val="0000FF"/>
      <w:u w:val="single"/>
    </w:rPr>
  </w:style>
  <w:style w:type="character" w:styleId="12">
    <w:name w:val="annotation reference"/>
    <w:basedOn w:val="10"/>
    <w:unhideWhenUsed/>
    <w:qFormat/>
    <w:uiPriority w:val="99"/>
    <w:rPr>
      <w:sz w:val="21"/>
      <w:szCs w:val="21"/>
    </w:rPr>
  </w:style>
  <w:style w:type="table" w:customStyle="1" w:styleId="14">
    <w:name w:val="Table Normal"/>
    <w:unhideWhenUsed/>
    <w:qFormat/>
    <w:uiPriority w:val="2"/>
    <w:tblPr>
      <w:tblCellMar>
        <w:top w:w="0" w:type="dxa"/>
        <w:left w:w="0" w:type="dxa"/>
        <w:bottom w:w="0" w:type="dxa"/>
        <w:right w:w="0" w:type="dxa"/>
      </w:tblCellMar>
    </w:tblPr>
  </w:style>
  <w:style w:type="paragraph" w:customStyle="1" w:styleId="15">
    <w:name w:val="标题 11"/>
    <w:basedOn w:val="1"/>
    <w:qFormat/>
    <w:uiPriority w:val="1"/>
    <w:pPr>
      <w:ind w:left="602"/>
      <w:outlineLvl w:val="1"/>
    </w:pPr>
    <w:rPr>
      <w:b/>
      <w:bCs/>
      <w:sz w:val="24"/>
      <w:szCs w:val="24"/>
    </w:rPr>
  </w:style>
  <w:style w:type="paragraph" w:customStyle="1" w:styleId="16">
    <w:name w:val="List Paragraph"/>
    <w:basedOn w:val="1"/>
    <w:qFormat/>
    <w:uiPriority w:val="1"/>
  </w:style>
  <w:style w:type="paragraph" w:customStyle="1" w:styleId="17">
    <w:name w:val="Table Paragraph"/>
    <w:basedOn w:val="1"/>
    <w:qFormat/>
    <w:uiPriority w:val="1"/>
  </w:style>
  <w:style w:type="character" w:customStyle="1" w:styleId="18">
    <w:name w:val="页眉 字符"/>
    <w:basedOn w:val="10"/>
    <w:link w:val="7"/>
    <w:semiHidden/>
    <w:qFormat/>
    <w:uiPriority w:val="99"/>
    <w:rPr>
      <w:rFonts w:ascii="宋体" w:hAnsi="宋体" w:eastAsia="宋体" w:cs="宋体"/>
      <w:sz w:val="18"/>
      <w:szCs w:val="18"/>
      <w:lang w:eastAsia="zh-CN"/>
    </w:rPr>
  </w:style>
  <w:style w:type="character" w:customStyle="1" w:styleId="19">
    <w:name w:val="页脚 字符"/>
    <w:basedOn w:val="10"/>
    <w:link w:val="6"/>
    <w:semiHidden/>
    <w:qFormat/>
    <w:uiPriority w:val="99"/>
    <w:rPr>
      <w:rFonts w:ascii="宋体" w:hAnsi="宋体" w:eastAsia="宋体" w:cs="宋体"/>
      <w:sz w:val="18"/>
      <w:szCs w:val="18"/>
      <w:lang w:eastAsia="zh-CN"/>
    </w:rPr>
  </w:style>
  <w:style w:type="character" w:customStyle="1" w:styleId="20">
    <w:name w:val="批注框文本 字符"/>
    <w:basedOn w:val="10"/>
    <w:link w:val="5"/>
    <w:semiHidden/>
    <w:qFormat/>
    <w:uiPriority w:val="99"/>
    <w:rPr>
      <w:rFonts w:ascii="宋体" w:hAnsi="宋体" w:eastAsia="宋体" w:cs="宋体"/>
      <w:sz w:val="18"/>
      <w:szCs w:val="18"/>
    </w:rPr>
  </w:style>
  <w:style w:type="character" w:customStyle="1" w:styleId="21">
    <w:name w:val="批注文字 字符"/>
    <w:basedOn w:val="10"/>
    <w:link w:val="3"/>
    <w:semiHidden/>
    <w:qFormat/>
    <w:uiPriority w:val="99"/>
    <w:rPr>
      <w:rFonts w:ascii="宋体" w:hAnsi="宋体" w:eastAsia="宋体" w:cs="宋体"/>
      <w:sz w:val="22"/>
      <w:szCs w:val="22"/>
    </w:rPr>
  </w:style>
  <w:style w:type="character" w:customStyle="1" w:styleId="22">
    <w:name w:val="批注主题 字符"/>
    <w:basedOn w:val="21"/>
    <w:link w:val="2"/>
    <w:semiHidden/>
    <w:qFormat/>
    <w:uiPriority w:val="99"/>
    <w:rPr>
      <w:rFonts w:ascii="宋体" w:hAnsi="宋体" w:eastAsia="宋体" w:cs="宋体"/>
      <w:b/>
      <w:bCs/>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2</Pages>
  <Words>869</Words>
  <Characters>920</Characters>
  <Lines>20</Lines>
  <Paragraphs>5</Paragraphs>
  <ScaleCrop>false</ScaleCrop>
  <LinksUpToDate>false</LinksUpToDate>
  <CharactersWithSpaces>933</CharactersWithSpaces>
  <Application>WPS Office_3.6.2.5883_F1E327BC-269C-435d-A152-05C5408002CA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2021-06-26T18:21:00Z</dcterms:created>
  <dc:creator>Administrator</dc:creator>
  <cp:lastModifiedBy>blanche</cp:lastModifiedBy>
  <dcterms:modified xsi:type="dcterms:W3CDTF">2022-03-18T14:57:57Z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2021-06-26T00:00:00Z</vt:filetime>
  </property>
  <property fmtid="{D5CDD505-2E9C-101B-9397-08002B2CF9AE}" pid="3" name="Creator">
    <vt:lpwstr>Aspose Ltd.</vt:lpwstr>
  </property>
  <property fmtid="{D5CDD505-2E9C-101B-9397-08002B2CF9AE}" pid="4" name="LastSaved">
    <vt:filetime>2021-06-26T00:00:00Z</vt:filetime>
  </property>
  <property fmtid="{D5CDD505-2E9C-101B-9397-08002B2CF9AE}" pid="5" name="KSOProductBuildVer">
    <vt:lpwstr>2052-3.6.2.5883</vt:lpwstr>
  </property>
  <property fmtid="{D5CDD505-2E9C-101B-9397-08002B2CF9AE}" pid="6" name="ICV">
    <vt:lpwstr>E016F8ABA28B4602B3614A30C2C29C39</vt:lpwstr>
  </property>
</Properties>
</file>